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唐山市产品质量监督抽查实施细则</w:t>
      </w:r>
    </w:p>
    <w:p>
      <w:pPr>
        <w:snapToGrid w:val="0"/>
        <w:spacing w:before="156" w:beforeLines="50" w:after="156" w:afterLines="50" w:line="360" w:lineRule="auto"/>
        <w:jc w:val="center"/>
        <w:rPr>
          <w:rFonts w:ascii="仿宋_GB2312" w:hAnsi="仿宋" w:eastAsia="仿宋_GB2312" w:cs="方正仿宋简体"/>
          <w:b/>
          <w:color w:val="000000" w:themeColor="text1"/>
          <w:sz w:val="36"/>
          <w:szCs w:val="36"/>
          <w14:textFill>
            <w14:solidFill>
              <w14:schemeClr w14:val="tx1"/>
            </w14:solidFill>
          </w14:textFill>
        </w:rPr>
      </w:pPr>
      <w:r>
        <w:rPr>
          <w:rFonts w:hint="eastAsia" w:ascii="仿宋_GB2312" w:hAnsi="仿宋" w:eastAsia="仿宋_GB2312" w:cs="方正仿宋简体"/>
          <w:b/>
          <w:color w:val="000000" w:themeColor="text1"/>
          <w:sz w:val="36"/>
          <w:szCs w:val="36"/>
          <w14:textFill>
            <w14:solidFill>
              <w14:schemeClr w14:val="tx1"/>
            </w14:solidFill>
          </w14:textFill>
        </w:rPr>
        <w:t>（气体产品）</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1 抽样方法</w:t>
      </w:r>
    </w:p>
    <w:p>
      <w:pPr>
        <w:snapToGrid w:val="0"/>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以随机抽样的方式在被抽样生产者、销售者的待销产品中抽取。随机数使用随机数骰子或扑克牌等方法产生。</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2 检验依据</w:t>
      </w:r>
    </w:p>
    <w:p>
      <w:pPr>
        <w:snapToGrid w:val="0"/>
        <w:spacing w:before="156" w:beforeLines="50"/>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表</w:t>
      </w:r>
      <w:r>
        <w:rPr>
          <w:rFonts w:hint="eastAsia" w:ascii="仿宋_GB2312" w:hAnsi="宋体" w:eastAsia="仿宋_GB2312"/>
          <w:bCs/>
          <w:color w:val="000000" w:themeColor="text1"/>
          <w:sz w:val="28"/>
          <w:szCs w:val="28"/>
          <w:lang w:val="en-US" w:eastAsia="zh-CN"/>
          <w14:textFill>
            <w14:solidFill>
              <w14:schemeClr w14:val="tx1"/>
            </w14:solidFill>
          </w14:textFill>
        </w:rPr>
        <w:t>1</w:t>
      </w:r>
      <w:r>
        <w:rPr>
          <w:rFonts w:hint="eastAsia" w:ascii="仿宋_GB2312" w:hAnsi="宋体" w:eastAsia="仿宋_GB2312"/>
          <w:bCs/>
          <w:color w:val="000000" w:themeColor="text1"/>
          <w:sz w:val="28"/>
          <w:szCs w:val="28"/>
          <w14:textFill>
            <w14:solidFill>
              <w14:schemeClr w14:val="tx1"/>
            </w14:solidFill>
          </w14:textFill>
        </w:rPr>
        <w:t xml:space="preserve"> 执行</w:t>
      </w:r>
      <w:r>
        <w:rPr>
          <w:rFonts w:ascii="仿宋_GB2312" w:hAnsi="宋体" w:eastAsia="仿宋_GB2312"/>
          <w:bCs/>
          <w:color w:val="000000" w:themeColor="text1"/>
          <w:sz w:val="28"/>
          <w:szCs w:val="28"/>
          <w14:textFill>
            <w14:solidFill>
              <w14:schemeClr w14:val="tx1"/>
            </w14:solidFill>
          </w14:textFill>
        </w:rPr>
        <w:t>GB/T 3863-2008</w:t>
      </w:r>
      <w:r>
        <w:rPr>
          <w:rFonts w:hint="eastAsia" w:ascii="仿宋_GB2312" w:hAnsi="宋体" w:eastAsia="仿宋_GB2312"/>
          <w:bCs/>
          <w:color w:val="000000" w:themeColor="text1"/>
          <w:sz w:val="28"/>
          <w:szCs w:val="28"/>
          <w14:textFill>
            <w14:solidFill>
              <w14:schemeClr w14:val="tx1"/>
            </w14:solidFill>
          </w14:textFill>
        </w:rPr>
        <w:t>标准产品检验项目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036"/>
        <w:gridCol w:w="1893"/>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val="0"/>
              <w:jc w:val="center"/>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序号</w:t>
            </w:r>
          </w:p>
        </w:tc>
        <w:tc>
          <w:tcPr>
            <w:tcW w:w="4036"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检验项目</w:t>
            </w:r>
          </w:p>
        </w:tc>
        <w:tc>
          <w:tcPr>
            <w:tcW w:w="1893"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检验依据</w:t>
            </w:r>
          </w:p>
        </w:tc>
        <w:tc>
          <w:tcPr>
            <w:tcW w:w="1918"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p>
        </w:tc>
        <w:tc>
          <w:tcPr>
            <w:tcW w:w="4036" w:type="dxa"/>
          </w:tcPr>
          <w:p>
            <w:pPr>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氧（O</w:t>
            </w:r>
            <w:r>
              <w:rPr>
                <w:rFonts w:hint="eastAsia" w:ascii="仿宋_GB2312" w:hAnsi="宋体" w:eastAsia="仿宋_GB2312"/>
                <w:bCs/>
                <w:color w:val="000000" w:themeColor="text1"/>
                <w:spacing w:val="-16"/>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6"/>
                <w:kern w:val="0"/>
                <w:sz w:val="28"/>
                <w:szCs w:val="28"/>
                <w14:textFill>
                  <w14:solidFill>
                    <w14:schemeClr w14:val="tx1"/>
                  </w14:solidFill>
                </w14:textFill>
              </w:rPr>
              <w:t>）含量</w:t>
            </w:r>
          </w:p>
        </w:tc>
        <w:tc>
          <w:tcPr>
            <w:tcW w:w="1893" w:type="dxa"/>
          </w:tcPr>
          <w:p>
            <w:pPr>
              <w:rPr>
                <w:rFonts w:ascii="仿宋_GB2312" w:hAnsi="宋体" w:eastAsia="仿宋_GB2312"/>
                <w:bCs/>
                <w:color w:val="000000" w:themeColor="text1"/>
                <w:spacing w:val="-16"/>
                <w:kern w:val="0"/>
                <w:sz w:val="28"/>
                <w:szCs w:val="28"/>
                <w14:textFill>
                  <w14:solidFill>
                    <w14:schemeClr w14:val="tx1"/>
                  </w14:solidFill>
                </w14:textFill>
              </w:rPr>
            </w:pPr>
            <w:r>
              <w:rPr>
                <w:rFonts w:ascii="仿宋_GB2312" w:hAnsi="宋体" w:eastAsia="仿宋_GB2312"/>
                <w:bCs/>
                <w:color w:val="000000" w:themeColor="text1"/>
                <w:spacing w:val="-16"/>
                <w:kern w:val="0"/>
                <w:sz w:val="28"/>
                <w:szCs w:val="28"/>
                <w14:textFill>
                  <w14:solidFill>
                    <w14:schemeClr w14:val="tx1"/>
                  </w14:solidFill>
                </w14:textFill>
              </w:rPr>
              <w:t>GB/T 3863-2008</w:t>
            </w:r>
          </w:p>
        </w:tc>
        <w:tc>
          <w:tcPr>
            <w:tcW w:w="1918" w:type="dxa"/>
          </w:tcPr>
          <w:p>
            <w:pPr>
              <w:rPr>
                <w:rFonts w:ascii="仿宋_GB2312" w:hAnsi="宋体" w:eastAsia="仿宋_GB2312"/>
                <w:bCs/>
                <w:color w:val="000000" w:themeColor="text1"/>
                <w:spacing w:val="-16"/>
                <w:kern w:val="0"/>
                <w:sz w:val="28"/>
                <w:szCs w:val="28"/>
                <w14:textFill>
                  <w14:solidFill>
                    <w14:schemeClr w14:val="tx1"/>
                  </w14:solidFill>
                </w14:textFill>
              </w:rPr>
            </w:pPr>
            <w:r>
              <w:rPr>
                <w:rFonts w:ascii="仿宋_GB2312" w:hAnsi="宋体" w:eastAsia="仿宋_GB2312"/>
                <w:bCs/>
                <w:color w:val="000000" w:themeColor="text1"/>
                <w:spacing w:val="-16"/>
                <w:kern w:val="0"/>
                <w:sz w:val="28"/>
                <w:szCs w:val="28"/>
                <w14:textFill>
                  <w14:solidFill>
                    <w14:schemeClr w14:val="tx1"/>
                  </w14:solidFill>
                </w14:textFill>
              </w:rPr>
              <w:t>GB/T 3863-2008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napToGrid w:val="0"/>
              <w:jc w:val="center"/>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2</w:t>
            </w:r>
          </w:p>
        </w:tc>
        <w:tc>
          <w:tcPr>
            <w:tcW w:w="4036" w:type="dxa"/>
          </w:tcPr>
          <w:p>
            <w:pPr>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水（H</w:t>
            </w:r>
            <w:r>
              <w:rPr>
                <w:rFonts w:hint="eastAsia" w:ascii="仿宋_GB2312" w:hAnsi="宋体" w:eastAsia="仿宋_GB2312"/>
                <w:bCs/>
                <w:color w:val="000000" w:themeColor="text1"/>
                <w:spacing w:val="-16"/>
                <w:kern w:val="0"/>
                <w:sz w:val="28"/>
                <w:szCs w:val="28"/>
                <w:vertAlign w:val="subscript"/>
                <w14:textFill>
                  <w14:solidFill>
                    <w14:schemeClr w14:val="tx1"/>
                  </w14:solidFill>
                </w14:textFill>
              </w:rPr>
              <w:t>2</w:t>
            </w:r>
            <w:r>
              <w:rPr>
                <w:rFonts w:hint="eastAsia" w:ascii="仿宋_GB2312" w:hAnsi="宋体" w:eastAsia="仿宋_GB2312"/>
                <w:bCs/>
                <w:color w:val="000000" w:themeColor="text1"/>
                <w:spacing w:val="-16"/>
                <w:kern w:val="0"/>
                <w:sz w:val="28"/>
                <w:szCs w:val="28"/>
                <w14:textFill>
                  <w14:solidFill>
                    <w14:schemeClr w14:val="tx1"/>
                  </w14:solidFill>
                </w14:textFill>
              </w:rPr>
              <w:t>O）</w:t>
            </w:r>
          </w:p>
        </w:tc>
        <w:tc>
          <w:tcPr>
            <w:tcW w:w="1893" w:type="dxa"/>
          </w:tcPr>
          <w:p>
            <w:pPr>
              <w:rPr>
                <w:rFonts w:ascii="仿宋_GB2312" w:hAnsi="宋体" w:eastAsia="仿宋_GB2312"/>
                <w:bCs/>
                <w:color w:val="000000" w:themeColor="text1"/>
                <w:spacing w:val="-16"/>
                <w:kern w:val="0"/>
                <w:sz w:val="28"/>
                <w:szCs w:val="28"/>
                <w14:textFill>
                  <w14:solidFill>
                    <w14:schemeClr w14:val="tx1"/>
                  </w14:solidFill>
                </w14:textFill>
              </w:rPr>
            </w:pPr>
            <w:r>
              <w:rPr>
                <w:rFonts w:ascii="仿宋_GB2312" w:hAnsi="宋体" w:eastAsia="仿宋_GB2312"/>
                <w:bCs/>
                <w:color w:val="000000" w:themeColor="text1"/>
                <w:spacing w:val="-16"/>
                <w:kern w:val="0"/>
                <w:sz w:val="28"/>
                <w:szCs w:val="28"/>
                <w14:textFill>
                  <w14:solidFill>
                    <w14:schemeClr w14:val="tx1"/>
                  </w14:solidFill>
                </w14:textFill>
              </w:rPr>
              <w:t>GB/T 3863-2008</w:t>
            </w:r>
          </w:p>
        </w:tc>
        <w:tc>
          <w:tcPr>
            <w:tcW w:w="1918" w:type="dxa"/>
          </w:tcPr>
          <w:p>
            <w:pPr>
              <w:rPr>
                <w:rFonts w:ascii="仿宋_GB2312" w:hAnsi="宋体" w:eastAsia="仿宋_GB2312"/>
                <w:bCs/>
                <w:color w:val="000000" w:themeColor="text1"/>
                <w:spacing w:val="-16"/>
                <w:kern w:val="0"/>
                <w:sz w:val="28"/>
                <w:szCs w:val="28"/>
                <w14:textFill>
                  <w14:solidFill>
                    <w14:schemeClr w14:val="tx1"/>
                  </w14:solidFill>
                </w14:textFill>
              </w:rPr>
            </w:pPr>
            <w:r>
              <w:rPr>
                <w:rFonts w:ascii="仿宋_GB2312" w:hAnsi="宋体" w:eastAsia="仿宋_GB2312"/>
                <w:bCs/>
                <w:color w:val="000000" w:themeColor="text1"/>
                <w:spacing w:val="-16"/>
                <w:kern w:val="0"/>
                <w:sz w:val="28"/>
                <w:szCs w:val="28"/>
                <w14:textFill>
                  <w14:solidFill>
                    <w14:schemeClr w14:val="tx1"/>
                  </w14:solidFill>
                </w14:textFill>
              </w:rPr>
              <w:t>GB/T 3863-2008</w:t>
            </w:r>
          </w:p>
        </w:tc>
      </w:tr>
    </w:tbl>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凡是注日期的文件，其随后所有的修改单（不包括勘误的内容）或修订版不适用于本细则。凡是不注日期的文件，其最新版本使用于本细则。</w:t>
      </w:r>
    </w:p>
    <w:p>
      <w:pPr>
        <w:snapToGrid w:val="0"/>
        <w:spacing w:line="360" w:lineRule="auto"/>
        <w:ind w:firstLine="562" w:firstLineChars="20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3 判定规则</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3.1依据标准</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bookmarkStart w:id="0" w:name="_GoBack"/>
      <w:bookmarkEnd w:id="0"/>
      <w:r>
        <w:rPr>
          <w:rFonts w:hint="eastAsia" w:ascii="仿宋_GB2312" w:hAnsi="宋体" w:eastAsia="仿宋_GB2312"/>
          <w:bCs/>
          <w:color w:val="000000" w:themeColor="text1"/>
          <w:sz w:val="28"/>
          <w:szCs w:val="28"/>
          <w14:textFill>
            <w14:solidFill>
              <w14:schemeClr w14:val="tx1"/>
            </w14:solidFill>
          </w14:textFill>
        </w:rPr>
        <w:t>GB/T 3863-2008 《工业氧》</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产品质量监督抽查管理暂行办法（国家市场监督管理总局令第18号）</w:t>
      </w:r>
    </w:p>
    <w:p>
      <w:pPr>
        <w:snapToGrid w:val="0"/>
        <w:spacing w:line="360" w:lineRule="auto"/>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经备案现行有效的企业标准及产品明示质量要求</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3.2判定原则</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经检验，检验项目全部合格，判定为被抽检产品合格；检验项目中任一项或一项以上不合格，判定为被抽检产品不合格。</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若被检产品明示的质量要求高于本细则中检验项目依据的标准要求时，应按被检产品明示的质量要求判定。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若被检产品明示的质量要求低于或包含细则中检验项目依据的推荐性标准要求时，应以被检产品明示的质量要求判定。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若被检产品明示的质量要求缺少本细则中检验项目依据的强制性标准要求时，应按照强制性标准要求判定。</w:t>
      </w:r>
    </w:p>
    <w:p>
      <w:pPr>
        <w:spacing w:line="6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汉鼎简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docPartObj>
        <w:docPartGallery w:val="AutoText"/>
      </w:docPartObj>
    </w:sdtPr>
    <w:sdtContent>
      <w:p>
        <w:pPr>
          <w:pStyle w:val="7"/>
          <w:jc w:val="right"/>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382250"/>
    <w:rsid w:val="003D1958"/>
    <w:rsid w:val="004307EC"/>
    <w:rsid w:val="005870FE"/>
    <w:rsid w:val="005E4956"/>
    <w:rsid w:val="005F4A0A"/>
    <w:rsid w:val="006165B7"/>
    <w:rsid w:val="00617E44"/>
    <w:rsid w:val="00710101"/>
    <w:rsid w:val="00716FDD"/>
    <w:rsid w:val="008F2845"/>
    <w:rsid w:val="008F747D"/>
    <w:rsid w:val="00963E4A"/>
    <w:rsid w:val="009F06EC"/>
    <w:rsid w:val="00AA6F00"/>
    <w:rsid w:val="00B626F6"/>
    <w:rsid w:val="00B74D81"/>
    <w:rsid w:val="00C72887"/>
    <w:rsid w:val="00C85106"/>
    <w:rsid w:val="00CC4ECB"/>
    <w:rsid w:val="00D07C8C"/>
    <w:rsid w:val="00D47CD9"/>
    <w:rsid w:val="00D665B5"/>
    <w:rsid w:val="00DF34C3"/>
    <w:rsid w:val="00E63992"/>
    <w:rsid w:val="00F678E2"/>
    <w:rsid w:val="00F7294D"/>
    <w:rsid w:val="00F95723"/>
    <w:rsid w:val="00FC1191"/>
    <w:rsid w:val="0D65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0"/>
    <w:pPr>
      <w:jc w:val="left"/>
    </w:pPr>
  </w:style>
  <w:style w:type="paragraph" w:styleId="3">
    <w:name w:val="Block Text"/>
    <w:basedOn w:val="1"/>
    <w:qFormat/>
    <w:uiPriority w:val="0"/>
    <w:pPr>
      <w:spacing w:after="120"/>
      <w:ind w:left="1440" w:leftChars="700" w:right="1440" w:rightChars="700"/>
    </w:pPr>
  </w:style>
  <w:style w:type="paragraph" w:styleId="4">
    <w:name w:val="Plain Text"/>
    <w:basedOn w:val="1"/>
    <w:link w:val="22"/>
    <w:qFormat/>
    <w:uiPriority w:val="0"/>
    <w:rPr>
      <w:rFonts w:ascii="宋体" w:hAnsi="Courier New"/>
      <w:sz w:val="20"/>
      <w:szCs w:val="20"/>
    </w:rPr>
  </w:style>
  <w:style w:type="paragraph" w:styleId="5">
    <w:name w:val="Date"/>
    <w:basedOn w:val="1"/>
    <w:next w:val="1"/>
    <w:link w:val="25"/>
    <w:qFormat/>
    <w:uiPriority w:val="0"/>
    <w:pPr>
      <w:ind w:left="100" w:leftChars="2500"/>
    </w:pPr>
  </w:style>
  <w:style w:type="paragraph" w:styleId="6">
    <w:name w:val="Balloon Text"/>
    <w:basedOn w:val="1"/>
    <w:link w:val="24"/>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qFormat/>
    <w:uiPriority w:val="99"/>
    <w:rPr>
      <w:rFonts w:ascii="Times New Roman" w:hAnsi="Times New Roman" w:eastAsia="宋体" w:cs="Times New Roman"/>
      <w:kern w:val="0"/>
      <w:sz w:val="24"/>
      <w:szCs w:val="20"/>
      <w:lang w:val="en-US" w:eastAsia="zh-CN" w:bidi="ar-SA"/>
    </w:rPr>
  </w:style>
  <w:style w:type="paragraph" w:styleId="11">
    <w:name w:val="annotation subject"/>
    <w:basedOn w:val="2"/>
    <w:next w:val="2"/>
    <w:link w:val="21"/>
    <w:semiHidden/>
    <w:qFormat/>
    <w:uiPriority w:val="0"/>
    <w:rPr>
      <w:b/>
      <w:bCs/>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styleId="17">
    <w:name w:val="annotation reference"/>
    <w:semiHidden/>
    <w:qFormat/>
    <w:uiPriority w:val="0"/>
    <w:rPr>
      <w:rFonts w:cs="Times New Roman"/>
      <w:sz w:val="21"/>
    </w:rPr>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qFormat/>
    <w:locked/>
    <w:uiPriority w:val="0"/>
    <w:rPr>
      <w:rFonts w:ascii="Times New Roman" w:hAnsi="Times New Roman" w:eastAsia="宋体" w:cs="Times New Roman"/>
      <w:sz w:val="24"/>
      <w:szCs w:val="24"/>
    </w:rPr>
  </w:style>
  <w:style w:type="character" w:customStyle="1" w:styleId="21">
    <w:name w:val="批注主题 Char"/>
    <w:link w:val="11"/>
    <w:semiHidden/>
    <w:qFormat/>
    <w:locked/>
    <w:uiPriority w:val="0"/>
    <w:rPr>
      <w:rFonts w:ascii="Times New Roman" w:hAnsi="Times New Roman" w:eastAsia="宋体" w:cs="Times New Roman"/>
      <w:b/>
      <w:bCs/>
      <w:sz w:val="24"/>
      <w:szCs w:val="24"/>
    </w:rPr>
  </w:style>
  <w:style w:type="character" w:customStyle="1" w:styleId="22">
    <w:name w:val="纯文本 Char"/>
    <w:link w:val="4"/>
    <w:qFormat/>
    <w:locked/>
    <w:uiPriority w:val="0"/>
    <w:rPr>
      <w:rFonts w:ascii="宋体" w:hAnsi="Courier New" w:eastAsia="宋体" w:cs="Times New Roman"/>
      <w:sz w:val="20"/>
      <w:szCs w:val="20"/>
    </w:rPr>
  </w:style>
  <w:style w:type="character" w:customStyle="1" w:styleId="23">
    <w:name w:val="HTML 预设格式 Char"/>
    <w:link w:val="9"/>
    <w:qFormat/>
    <w:uiPriority w:val="0"/>
    <w:rPr>
      <w:rFonts w:ascii="宋体" w:hAnsi="宋体" w:eastAsia="宋体"/>
      <w:sz w:val="24"/>
      <w:szCs w:val="24"/>
    </w:rPr>
  </w:style>
  <w:style w:type="character" w:customStyle="1" w:styleId="24">
    <w:name w:val="批注框文本 Char"/>
    <w:link w:val="6"/>
    <w:semiHidden/>
    <w:qFormat/>
    <w:locked/>
    <w:uiPriority w:val="0"/>
    <w:rPr>
      <w:rFonts w:ascii="Times New Roman" w:hAnsi="Times New Roman" w:eastAsia="宋体" w:cs="Times New Roman"/>
      <w:sz w:val="18"/>
      <w:szCs w:val="18"/>
    </w:rPr>
  </w:style>
  <w:style w:type="character" w:customStyle="1" w:styleId="25">
    <w:name w:val="日期 Char"/>
    <w:basedOn w:val="14"/>
    <w:link w:val="5"/>
    <w:qFormat/>
    <w:uiPriority w:val="0"/>
    <w:rPr>
      <w:rFonts w:ascii="Times New Roman" w:hAnsi="Times New Roman" w:eastAsia="宋体" w:cs="Times New Roman"/>
      <w:sz w:val="24"/>
      <w:szCs w:val="24"/>
    </w:rPr>
  </w:style>
  <w:style w:type="character" w:customStyle="1" w:styleId="26">
    <w:name w:val="纯文本 字符1"/>
    <w:basedOn w:val="14"/>
    <w:semiHidden/>
    <w:qFormat/>
    <w:uiPriority w:val="99"/>
    <w:rPr>
      <w:rFonts w:hAnsi="Courier New" w:cs="Courier New" w:asciiTheme="minorEastAsia"/>
      <w:sz w:val="24"/>
      <w:szCs w:val="24"/>
    </w:rPr>
  </w:style>
  <w:style w:type="character" w:customStyle="1" w:styleId="27">
    <w:name w:val="批注文字 字符1"/>
    <w:basedOn w:val="14"/>
    <w:semiHidden/>
    <w:qFormat/>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qFormat/>
    <w:uiPriority w:val="99"/>
    <w:rPr>
      <w:rFonts w:ascii="Times New Roman" w:hAnsi="Times New Roman" w:eastAsia="宋体" w:cs="Times New Roman"/>
      <w:sz w:val="18"/>
      <w:szCs w:val="18"/>
    </w:rPr>
  </w:style>
  <w:style w:type="character" w:customStyle="1" w:styleId="30">
    <w:name w:val="HTML 预设格式 字符1"/>
    <w:basedOn w:val="14"/>
    <w:semiHidden/>
    <w:qFormat/>
    <w:uiPriority w:val="99"/>
    <w:rPr>
      <w:rFonts w:ascii="Courier New" w:hAnsi="Courier New" w:eastAsia="宋体" w:cs="Courier New"/>
      <w:sz w:val="20"/>
      <w:szCs w:val="20"/>
    </w:rPr>
  </w:style>
  <w:style w:type="paragraph" w:customStyle="1" w:styleId="31">
    <w:name w:val="Char"/>
    <w:basedOn w:val="1"/>
    <w:qFormat/>
    <w:uiPriority w:val="0"/>
    <w:pPr>
      <w:widowControl/>
      <w:spacing w:after="160" w:line="320" w:lineRule="exact"/>
      <w:jc w:val="center"/>
    </w:pPr>
    <w:rPr>
      <w:rFonts w:ascii="Verdana" w:hAnsi="Verdana"/>
      <w:kern w:val="0"/>
      <w:sz w:val="18"/>
      <w:szCs w:val="20"/>
      <w:lang w:eastAsia="en-US"/>
    </w:rPr>
  </w:style>
  <w:style w:type="paragraph" w:customStyle="1" w:styleId="32">
    <w:name w:val="段"/>
    <w:qFormat/>
    <w:uiPriority w:val="0"/>
    <w:pPr>
      <w:autoSpaceDE w:val="0"/>
      <w:autoSpaceDN w:val="0"/>
      <w:adjustRightInd w:val="0"/>
      <w:snapToGrid w:val="0"/>
      <w:spacing w:line="500" w:lineRule="exact"/>
      <w:ind w:firstLine="560" w:firstLineChars="200"/>
    </w:pPr>
    <w:rPr>
      <w:rFonts w:ascii="仿宋_GB2312" w:hAnsi="宋体" w:eastAsia="仿宋_GB2312" w:cs="Times New Roman"/>
      <w:kern w:val="0"/>
      <w:sz w:val="28"/>
      <w:szCs w:val="28"/>
      <w:lang w:val="en-US" w:eastAsia="zh-CN" w:bidi="ar-SA"/>
    </w:rPr>
  </w:style>
  <w:style w:type="paragraph" w:customStyle="1" w:styleId="33">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styleId="34">
    <w:name w:val="List Paragraph"/>
    <w:basedOn w:val="1"/>
    <w:qFormat/>
    <w:uiPriority w:val="0"/>
    <w:pPr>
      <w:ind w:firstLine="420" w:firstLineChars="200"/>
    </w:pPr>
    <w:rPr>
      <w:sz w:val="21"/>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692</Characters>
  <Lines>5</Lines>
  <Paragraphs>1</Paragraphs>
  <TotalTime>646</TotalTime>
  <ScaleCrop>false</ScaleCrop>
  <LinksUpToDate>false</LinksUpToDate>
  <CharactersWithSpaces>812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2020-04-27T01:30:00Z</dcterms:created>
  <dc:creator>dell</dc:creator>
  <cp:lastModifiedBy>admin</cp:lastModifiedBy>
  <dcterms:modified xsi:type="dcterms:W3CDTF">2022-07-04T08:24:51Z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