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塑料垃圾袋产品质量市级监督抽查实施细则</w:t>
      </w:r>
    </w:p>
    <w:p>
      <w:pPr>
        <w:widowControl/>
        <w:spacing w:line="560" w:lineRule="atLeast"/>
        <w:jc w:val="left"/>
        <w:rPr>
          <w:rFonts w:ascii="微软雅黑" w:hAnsi="微软雅黑" w:eastAsia="微软雅黑" w:cs="微软雅黑"/>
          <w:color w:val="333333"/>
          <w:sz w:val="20"/>
          <w:szCs w:val="20"/>
        </w:rPr>
      </w:pPr>
      <w:r>
        <w:rPr>
          <w:rFonts w:hint="eastAsia" w:ascii="宋体" w:hAnsi="宋体" w:eastAsia="宋体" w:cs="宋体"/>
          <w:b/>
          <w:bCs/>
          <w:color w:val="000000"/>
          <w:kern w:val="0"/>
          <w:sz w:val="20"/>
          <w:szCs w:val="20"/>
          <w:lang w:bidi="ar"/>
        </w:rPr>
        <w:t>1. 抽样方法</w:t>
      </w:r>
    </w:p>
    <w:p>
      <w:pPr>
        <w:widowControl/>
        <w:spacing w:line="360" w:lineRule="auto"/>
        <w:ind w:firstLine="400" w:firstLineChars="200"/>
        <w:jc w:val="left"/>
        <w:rPr>
          <w:sz w:val="20"/>
          <w:szCs w:val="20"/>
        </w:rPr>
      </w:pPr>
      <w:r>
        <w:rPr>
          <w:rFonts w:hint="eastAsia" w:ascii="宋体" w:hAnsi="宋体" w:eastAsia="宋体" w:cs="宋体"/>
          <w:color w:val="000000"/>
          <w:kern w:val="0"/>
          <w:sz w:val="20"/>
          <w:szCs w:val="20"/>
          <w:lang w:bidi="ar"/>
        </w:rPr>
        <w:t xml:space="preserve">以随机抽样的方式在被抽样生产者、销售者的待销产品中抽取。 </w:t>
      </w:r>
    </w:p>
    <w:p>
      <w:pPr>
        <w:widowControl/>
        <w:spacing w:line="360" w:lineRule="auto"/>
        <w:ind w:firstLine="400" w:firstLineChars="200"/>
        <w:jc w:val="left"/>
        <w:rPr>
          <w:sz w:val="20"/>
          <w:szCs w:val="20"/>
        </w:rPr>
      </w:pPr>
      <w:r>
        <w:rPr>
          <w:rFonts w:hint="eastAsia" w:ascii="宋体" w:hAnsi="宋体" w:eastAsia="宋体" w:cs="宋体"/>
          <w:color w:val="000000"/>
          <w:kern w:val="0"/>
          <w:sz w:val="20"/>
          <w:szCs w:val="20"/>
          <w:lang w:bidi="ar"/>
        </w:rPr>
        <w:t xml:space="preserve">随机数一般可使用随机数表、骰子或扑克牌等方法产生。 </w:t>
      </w:r>
    </w:p>
    <w:p>
      <w:pPr>
        <w:widowControl/>
        <w:spacing w:line="360" w:lineRule="auto"/>
        <w:ind w:firstLine="400" w:firstLineChars="200"/>
        <w:jc w:val="left"/>
      </w:pPr>
      <w:r>
        <w:rPr>
          <w:rFonts w:hint="eastAsia" w:ascii="宋体" w:hAnsi="宋体" w:eastAsia="宋体" w:cs="宋体"/>
          <w:color w:val="000000"/>
          <w:kern w:val="0"/>
          <w:sz w:val="20"/>
          <w:szCs w:val="20"/>
          <w:lang w:bidi="ar"/>
        </w:rPr>
        <w:t xml:space="preserve">每批次产品抽取样品 100 个，其中 50 个作为检验样品，50 个作为备用样品，备用样品 封存于受检单位。 </w:t>
      </w:r>
    </w:p>
    <w:p>
      <w:pPr>
        <w:widowControl/>
        <w:spacing w:line="360" w:lineRule="auto"/>
        <w:jc w:val="left"/>
        <w:rPr>
          <w:rFonts w:asciiTheme="minorEastAsia" w:hAnsiTheme="minorEastAsia"/>
          <w:b/>
        </w:rPr>
      </w:pPr>
      <w:r>
        <w:rPr>
          <w:rFonts w:hint="eastAsia" w:cs="黑体" w:asciiTheme="minorEastAsia" w:hAnsiTheme="minorEastAsia"/>
          <w:b/>
          <w:color w:val="000000"/>
          <w:kern w:val="0"/>
          <w:sz w:val="20"/>
          <w:szCs w:val="20"/>
          <w:lang w:bidi="ar"/>
        </w:rPr>
        <w:t xml:space="preserve">2． 检验依据 </w:t>
      </w:r>
    </w:p>
    <w:p>
      <w:pPr>
        <w:widowControl/>
        <w:spacing w:line="360" w:lineRule="auto"/>
        <w:jc w:val="center"/>
        <w:rPr>
          <w:rFonts w:cs="黑体" w:asciiTheme="minorEastAsia" w:hAnsiTheme="minorEastAsia"/>
          <w:b/>
          <w:color w:val="000000"/>
          <w:kern w:val="0"/>
          <w:sz w:val="20"/>
          <w:szCs w:val="20"/>
          <w:lang w:bidi="ar"/>
        </w:rPr>
      </w:pPr>
      <w:r>
        <w:rPr>
          <w:rFonts w:hint="eastAsia" w:cs="黑体" w:asciiTheme="minorEastAsia" w:hAnsiTheme="minorEastAsia"/>
          <w:b/>
          <w:color w:val="000000"/>
          <w:kern w:val="0"/>
          <w:sz w:val="20"/>
          <w:szCs w:val="20"/>
          <w:lang w:bidi="ar"/>
        </w:rPr>
        <w:t>表 1 塑料垃圾袋检验项目</w:t>
      </w:r>
    </w:p>
    <w:tbl>
      <w:tblPr>
        <w:tblStyle w:val="6"/>
        <w:tblW w:w="8285"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3312"/>
        <w:gridCol w:w="3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78" w:type="dxa"/>
          </w:tcPr>
          <w:p>
            <w:pPr>
              <w:spacing w:before="212" w:line="360" w:lineRule="auto"/>
              <w:ind w:left="535"/>
              <w:rPr>
                <w:rFonts w:ascii="宋体" w:hAnsi="宋体" w:eastAsia="宋体" w:cs="宋体"/>
                <w:sz w:val="22"/>
                <w:szCs w:val="22"/>
              </w:rPr>
            </w:pPr>
            <w:r>
              <w:rPr>
                <w:rFonts w:hint="eastAsia" w:ascii="宋体" w:hAnsi="宋体" w:eastAsia="宋体" w:cs="宋体"/>
                <w:spacing w:val="5"/>
                <w:sz w:val="22"/>
                <w:szCs w:val="22"/>
              </w:rPr>
              <w:t>序</w:t>
            </w:r>
            <w:r>
              <w:rPr>
                <w:rFonts w:hint="eastAsia" w:ascii="宋体" w:hAnsi="宋体" w:eastAsia="宋体" w:cs="宋体"/>
                <w:spacing w:val="4"/>
                <w:sz w:val="22"/>
                <w:szCs w:val="22"/>
              </w:rPr>
              <w:t>号</w:t>
            </w:r>
          </w:p>
        </w:tc>
        <w:tc>
          <w:tcPr>
            <w:tcW w:w="3312" w:type="dxa"/>
          </w:tcPr>
          <w:p>
            <w:pPr>
              <w:spacing w:before="211" w:line="360" w:lineRule="auto"/>
              <w:ind w:left="1239"/>
              <w:rPr>
                <w:rFonts w:ascii="宋体" w:hAnsi="宋体" w:eastAsia="宋体" w:cs="宋体"/>
                <w:sz w:val="22"/>
                <w:szCs w:val="22"/>
              </w:rPr>
            </w:pPr>
            <w:r>
              <w:rPr>
                <w:rFonts w:hint="eastAsia" w:ascii="宋体" w:hAnsi="宋体" w:eastAsia="宋体" w:cs="宋体"/>
                <w:spacing w:val="8"/>
                <w:sz w:val="22"/>
                <w:szCs w:val="22"/>
              </w:rPr>
              <w:t>检验项目</w:t>
            </w:r>
          </w:p>
        </w:tc>
        <w:tc>
          <w:tcPr>
            <w:tcW w:w="3495" w:type="dxa"/>
          </w:tcPr>
          <w:p>
            <w:pPr>
              <w:spacing w:before="212" w:line="360" w:lineRule="auto"/>
              <w:ind w:left="1330"/>
              <w:rPr>
                <w:rFonts w:ascii="宋体" w:hAnsi="宋体" w:eastAsia="宋体" w:cs="宋体"/>
                <w:sz w:val="22"/>
                <w:szCs w:val="22"/>
              </w:rPr>
            </w:pPr>
            <w:r>
              <w:rPr>
                <w:rFonts w:hint="eastAsia" w:ascii="宋体" w:hAnsi="宋体" w:eastAsia="宋体" w:cs="宋体"/>
                <w:spacing w:val="8"/>
                <w:sz w:val="22"/>
                <w:szCs w:val="2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tcPr>
          <w:p>
            <w:pPr>
              <w:spacing w:before="179" w:line="360" w:lineRule="auto"/>
              <w:ind w:left="707"/>
              <w:rPr>
                <w:rFonts w:ascii="宋体" w:hAnsi="宋体" w:eastAsia="宋体" w:cs="宋体"/>
                <w:sz w:val="22"/>
                <w:szCs w:val="22"/>
              </w:rPr>
            </w:pPr>
            <w:r>
              <w:rPr>
                <w:rFonts w:hint="eastAsia" w:ascii="宋体" w:hAnsi="宋体" w:eastAsia="宋体" w:cs="宋体"/>
                <w:sz w:val="22"/>
                <w:szCs w:val="22"/>
              </w:rPr>
              <w:t>1</w:t>
            </w:r>
          </w:p>
        </w:tc>
        <w:tc>
          <w:tcPr>
            <w:tcW w:w="3312" w:type="dxa"/>
            <w:vAlign w:val="center"/>
          </w:tcPr>
          <w:p>
            <w:pPr>
              <w:widowControl/>
              <w:jc w:val="center"/>
              <w:textAlignment w:val="center"/>
              <w:rPr>
                <w:rFonts w:ascii="宋体" w:hAnsi="宋体" w:eastAsia="宋体" w:cs="宋体"/>
                <w:sz w:val="22"/>
                <w:szCs w:val="22"/>
              </w:rPr>
            </w:pPr>
            <w:r>
              <w:rPr>
                <w:rFonts w:hint="eastAsia" w:ascii="宋体" w:hAnsi="宋体" w:eastAsia="宋体" w:cs="宋体"/>
                <w:color w:val="000000"/>
                <w:kern w:val="0"/>
                <w:sz w:val="22"/>
                <w:szCs w:val="22"/>
                <w:lang w:bidi="ar"/>
              </w:rPr>
              <w:t>标识</w:t>
            </w:r>
          </w:p>
        </w:tc>
        <w:tc>
          <w:tcPr>
            <w:tcW w:w="3495" w:type="dxa"/>
            <w:vAlign w:val="bottom"/>
          </w:tcPr>
          <w:p>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GB/T 24454-2009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tcPr>
          <w:p>
            <w:pPr>
              <w:spacing w:before="181" w:line="360" w:lineRule="auto"/>
              <w:ind w:left="694"/>
              <w:rPr>
                <w:rFonts w:ascii="宋体" w:hAnsi="宋体" w:eastAsia="宋体" w:cs="宋体"/>
                <w:sz w:val="22"/>
                <w:szCs w:val="22"/>
              </w:rPr>
            </w:pPr>
            <w:r>
              <w:rPr>
                <w:rFonts w:hint="eastAsia" w:ascii="宋体" w:hAnsi="宋体" w:eastAsia="宋体" w:cs="宋体"/>
                <w:sz w:val="22"/>
                <w:szCs w:val="22"/>
              </w:rPr>
              <w:t>2</w:t>
            </w:r>
          </w:p>
        </w:tc>
        <w:tc>
          <w:tcPr>
            <w:tcW w:w="3312" w:type="dxa"/>
            <w:vAlign w:val="center"/>
          </w:tcPr>
          <w:p>
            <w:pPr>
              <w:widowControl/>
              <w:jc w:val="center"/>
              <w:textAlignment w:val="center"/>
              <w:rPr>
                <w:rFonts w:ascii="宋体" w:hAnsi="宋体" w:eastAsia="宋体" w:cs="宋体"/>
                <w:sz w:val="22"/>
                <w:szCs w:val="22"/>
              </w:rPr>
            </w:pPr>
            <w:r>
              <w:rPr>
                <w:rFonts w:hint="eastAsia" w:ascii="宋体" w:hAnsi="宋体" w:eastAsia="宋体" w:cs="宋体"/>
                <w:color w:val="000000"/>
                <w:kern w:val="0"/>
                <w:sz w:val="22"/>
                <w:szCs w:val="22"/>
                <w:lang w:bidi="ar"/>
              </w:rPr>
              <w:t>有效宽度和长度偏差</w:t>
            </w:r>
          </w:p>
        </w:tc>
        <w:tc>
          <w:tcPr>
            <w:tcW w:w="3495" w:type="dxa"/>
            <w:vAlign w:val="bottom"/>
          </w:tcPr>
          <w:p>
            <w:pPr>
              <w:widowControl/>
              <w:jc w:val="center"/>
              <w:textAlignment w:val="bottom"/>
              <w:rPr>
                <w:rFonts w:ascii="宋体" w:hAnsi="宋体" w:eastAsia="宋体" w:cs="宋体"/>
                <w:sz w:val="22"/>
                <w:szCs w:val="22"/>
              </w:rPr>
            </w:pPr>
            <w:r>
              <w:rPr>
                <w:rFonts w:hint="eastAsia" w:ascii="宋体" w:hAnsi="宋体" w:eastAsia="宋体" w:cs="宋体"/>
                <w:color w:val="000000"/>
                <w:kern w:val="0"/>
                <w:sz w:val="22"/>
                <w:szCs w:val="22"/>
                <w:lang w:bidi="ar"/>
              </w:rPr>
              <w:t>GB/T 24454-2009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tcPr>
          <w:p>
            <w:pPr>
              <w:spacing w:before="181" w:line="360" w:lineRule="auto"/>
              <w:ind w:left="695"/>
              <w:rPr>
                <w:rFonts w:ascii="宋体" w:hAnsi="宋体" w:eastAsia="宋体" w:cs="宋体"/>
                <w:sz w:val="22"/>
                <w:szCs w:val="22"/>
              </w:rPr>
            </w:pPr>
            <w:r>
              <w:rPr>
                <w:rFonts w:hint="eastAsia" w:ascii="宋体" w:hAnsi="宋体" w:eastAsia="宋体" w:cs="宋体"/>
                <w:sz w:val="22"/>
                <w:szCs w:val="22"/>
              </w:rPr>
              <w:t>3</w:t>
            </w:r>
          </w:p>
        </w:tc>
        <w:tc>
          <w:tcPr>
            <w:tcW w:w="3312" w:type="dxa"/>
            <w:vAlign w:val="center"/>
          </w:tcPr>
          <w:p>
            <w:pPr>
              <w:widowControl/>
              <w:jc w:val="center"/>
              <w:textAlignment w:val="center"/>
              <w:rPr>
                <w:rFonts w:ascii="宋体" w:hAnsi="宋体" w:eastAsia="宋体" w:cs="宋体"/>
                <w:sz w:val="22"/>
                <w:szCs w:val="22"/>
              </w:rPr>
            </w:pPr>
            <w:r>
              <w:rPr>
                <w:rFonts w:hint="eastAsia" w:ascii="宋体" w:hAnsi="宋体" w:eastAsia="宋体" w:cs="宋体"/>
                <w:color w:val="000000"/>
                <w:kern w:val="0"/>
                <w:sz w:val="22"/>
                <w:szCs w:val="22"/>
                <w:lang w:bidi="ar"/>
              </w:rPr>
              <w:t>感官</w:t>
            </w:r>
          </w:p>
        </w:tc>
        <w:tc>
          <w:tcPr>
            <w:tcW w:w="3495" w:type="dxa"/>
            <w:vAlign w:val="bottom"/>
          </w:tcPr>
          <w:p>
            <w:pPr>
              <w:widowControl/>
              <w:jc w:val="center"/>
              <w:textAlignment w:val="bottom"/>
              <w:rPr>
                <w:rFonts w:ascii="宋体" w:hAnsi="宋体" w:eastAsia="宋体" w:cs="宋体"/>
                <w:sz w:val="22"/>
                <w:szCs w:val="22"/>
              </w:rPr>
            </w:pPr>
            <w:r>
              <w:rPr>
                <w:rFonts w:hint="eastAsia" w:ascii="宋体" w:hAnsi="宋体" w:eastAsia="宋体" w:cs="宋体"/>
                <w:color w:val="000000"/>
                <w:kern w:val="0"/>
                <w:sz w:val="22"/>
                <w:szCs w:val="22"/>
                <w:lang w:bidi="ar"/>
              </w:rPr>
              <w:t>GB/T 24454-2009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tcPr>
          <w:p>
            <w:pPr>
              <w:spacing w:before="180" w:line="360" w:lineRule="auto"/>
              <w:ind w:left="690"/>
              <w:rPr>
                <w:rFonts w:ascii="宋体" w:hAnsi="宋体" w:eastAsia="宋体" w:cs="宋体"/>
                <w:sz w:val="22"/>
                <w:szCs w:val="22"/>
              </w:rPr>
            </w:pPr>
            <w:r>
              <w:rPr>
                <w:rFonts w:hint="eastAsia" w:ascii="宋体" w:hAnsi="宋体" w:eastAsia="宋体" w:cs="宋体"/>
                <w:sz w:val="22"/>
                <w:szCs w:val="22"/>
              </w:rPr>
              <w:t>4</w:t>
            </w:r>
          </w:p>
        </w:tc>
        <w:tc>
          <w:tcPr>
            <w:tcW w:w="3312" w:type="dxa"/>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color w:val="000000"/>
                <w:kern w:val="0"/>
                <w:sz w:val="22"/>
                <w:szCs w:val="22"/>
                <w:lang w:bidi="ar"/>
              </w:rPr>
              <w:t>抗渗漏性能</w:t>
            </w:r>
          </w:p>
        </w:tc>
        <w:tc>
          <w:tcPr>
            <w:tcW w:w="3495" w:type="dxa"/>
            <w:shd w:val="clear" w:color="auto" w:fill="auto"/>
            <w:vAlign w:val="bottom"/>
          </w:tcPr>
          <w:p>
            <w:pPr>
              <w:widowControl/>
              <w:jc w:val="center"/>
              <w:textAlignment w:val="bottom"/>
              <w:rPr>
                <w:rFonts w:ascii="宋体" w:hAnsi="宋体" w:eastAsia="宋体" w:cs="宋体"/>
                <w:sz w:val="22"/>
                <w:szCs w:val="22"/>
              </w:rPr>
            </w:pPr>
            <w:r>
              <w:rPr>
                <w:rFonts w:hint="eastAsia" w:ascii="宋体" w:hAnsi="宋体" w:eastAsia="宋体" w:cs="宋体"/>
                <w:color w:val="000000"/>
                <w:kern w:val="0"/>
                <w:sz w:val="22"/>
                <w:szCs w:val="22"/>
                <w:lang w:bidi="ar"/>
              </w:rPr>
              <w:t>GB/T 24454-2009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tcPr>
          <w:p>
            <w:pPr>
              <w:spacing w:before="183" w:line="360" w:lineRule="auto"/>
              <w:ind w:left="695"/>
              <w:rPr>
                <w:rFonts w:ascii="宋体" w:hAnsi="宋体" w:eastAsia="宋体" w:cs="宋体"/>
                <w:sz w:val="22"/>
                <w:szCs w:val="22"/>
              </w:rPr>
            </w:pPr>
            <w:r>
              <w:rPr>
                <w:rFonts w:hint="eastAsia" w:ascii="宋体" w:hAnsi="宋体" w:eastAsia="宋体" w:cs="宋体"/>
                <w:sz w:val="22"/>
                <w:szCs w:val="22"/>
              </w:rPr>
              <w:t>5</w:t>
            </w:r>
          </w:p>
        </w:tc>
        <w:tc>
          <w:tcPr>
            <w:tcW w:w="3312" w:type="dxa"/>
            <w:vAlign w:val="center"/>
          </w:tcPr>
          <w:p>
            <w:pPr>
              <w:widowControl/>
              <w:jc w:val="center"/>
              <w:textAlignment w:val="center"/>
              <w:rPr>
                <w:rFonts w:ascii="宋体" w:hAnsi="宋体" w:eastAsia="宋体" w:cs="宋体"/>
                <w:sz w:val="22"/>
                <w:szCs w:val="22"/>
              </w:rPr>
            </w:pPr>
            <w:r>
              <w:rPr>
                <w:rFonts w:hint="eastAsia" w:ascii="宋体" w:hAnsi="宋体" w:eastAsia="宋体" w:cs="宋体"/>
                <w:color w:val="000000"/>
                <w:kern w:val="0"/>
                <w:sz w:val="22"/>
                <w:szCs w:val="22"/>
                <w:lang w:bidi="ar"/>
              </w:rPr>
              <w:t>跌落性能</w:t>
            </w:r>
          </w:p>
        </w:tc>
        <w:tc>
          <w:tcPr>
            <w:tcW w:w="3495" w:type="dxa"/>
            <w:vAlign w:val="bottom"/>
          </w:tcPr>
          <w:p>
            <w:pPr>
              <w:widowControl/>
              <w:jc w:val="center"/>
              <w:textAlignment w:val="bottom"/>
              <w:rPr>
                <w:rFonts w:ascii="宋体" w:hAnsi="宋体" w:eastAsia="宋体" w:cs="宋体"/>
                <w:sz w:val="22"/>
                <w:szCs w:val="22"/>
              </w:rPr>
            </w:pPr>
            <w:r>
              <w:rPr>
                <w:rFonts w:hint="eastAsia" w:ascii="宋体" w:hAnsi="宋体" w:eastAsia="宋体" w:cs="宋体"/>
                <w:color w:val="000000"/>
                <w:kern w:val="0"/>
                <w:sz w:val="22"/>
                <w:szCs w:val="22"/>
                <w:lang w:bidi="ar"/>
              </w:rPr>
              <w:t>GB/T 24454-2009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tcPr>
          <w:p>
            <w:pPr>
              <w:spacing w:before="182" w:line="360" w:lineRule="auto"/>
              <w:ind w:left="693"/>
              <w:rPr>
                <w:rFonts w:ascii="宋体" w:hAnsi="宋体" w:eastAsia="宋体" w:cs="宋体"/>
                <w:sz w:val="22"/>
                <w:szCs w:val="22"/>
              </w:rPr>
            </w:pPr>
            <w:r>
              <w:rPr>
                <w:rFonts w:hint="eastAsia" w:ascii="宋体" w:hAnsi="宋体" w:eastAsia="宋体" w:cs="宋体"/>
                <w:sz w:val="22"/>
                <w:szCs w:val="22"/>
              </w:rPr>
              <w:t>6</w:t>
            </w:r>
          </w:p>
        </w:tc>
        <w:tc>
          <w:tcPr>
            <w:tcW w:w="3312" w:type="dxa"/>
            <w:vAlign w:val="center"/>
          </w:tcPr>
          <w:p>
            <w:pPr>
              <w:widowControl/>
              <w:jc w:val="center"/>
              <w:textAlignment w:val="center"/>
              <w:rPr>
                <w:rFonts w:ascii="宋体" w:hAnsi="宋体" w:eastAsia="宋体" w:cs="宋体"/>
                <w:sz w:val="22"/>
                <w:szCs w:val="22"/>
              </w:rPr>
            </w:pPr>
            <w:r>
              <w:rPr>
                <w:rFonts w:hint="eastAsia" w:ascii="宋体" w:hAnsi="宋体" w:eastAsia="宋体" w:cs="宋体"/>
                <w:color w:val="000000"/>
                <w:kern w:val="0"/>
                <w:sz w:val="22"/>
                <w:szCs w:val="22"/>
                <w:lang w:bidi="ar"/>
              </w:rPr>
              <w:t>拉紧绳拉伸力</w:t>
            </w:r>
          </w:p>
        </w:tc>
        <w:tc>
          <w:tcPr>
            <w:tcW w:w="3495" w:type="dxa"/>
            <w:vAlign w:val="bottom"/>
          </w:tcPr>
          <w:p>
            <w:pPr>
              <w:widowControl/>
              <w:jc w:val="center"/>
              <w:textAlignment w:val="bottom"/>
              <w:rPr>
                <w:rFonts w:ascii="宋体" w:hAnsi="宋体" w:eastAsia="宋体" w:cs="宋体"/>
                <w:sz w:val="22"/>
                <w:szCs w:val="22"/>
              </w:rPr>
            </w:pPr>
            <w:r>
              <w:rPr>
                <w:rFonts w:hint="eastAsia" w:ascii="宋体" w:hAnsi="宋体" w:eastAsia="宋体" w:cs="宋体"/>
                <w:color w:val="000000"/>
                <w:kern w:val="0"/>
                <w:sz w:val="22"/>
                <w:szCs w:val="22"/>
                <w:lang w:bidi="ar"/>
              </w:rPr>
              <w:t>GB/T 1040.3-2006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tcPr>
          <w:p>
            <w:pPr>
              <w:spacing w:before="182" w:line="360" w:lineRule="auto"/>
              <w:ind w:left="693"/>
              <w:rPr>
                <w:rFonts w:ascii="宋体" w:hAnsi="宋体" w:eastAsia="宋体" w:cs="宋体"/>
                <w:sz w:val="22"/>
                <w:szCs w:val="22"/>
              </w:rPr>
            </w:pPr>
            <w:r>
              <w:rPr>
                <w:rFonts w:hint="eastAsia" w:ascii="宋体" w:hAnsi="宋体" w:eastAsia="宋体" w:cs="宋体"/>
                <w:sz w:val="22"/>
                <w:szCs w:val="22"/>
              </w:rPr>
              <w:t>7</w:t>
            </w:r>
          </w:p>
        </w:tc>
        <w:tc>
          <w:tcPr>
            <w:tcW w:w="3312" w:type="dxa"/>
            <w:vAlign w:val="center"/>
          </w:tcPr>
          <w:p>
            <w:pPr>
              <w:widowControl/>
              <w:jc w:val="center"/>
              <w:textAlignment w:val="center"/>
              <w:rPr>
                <w:rFonts w:ascii="宋体" w:hAnsi="宋体" w:eastAsia="宋体" w:cs="宋体"/>
                <w:sz w:val="22"/>
                <w:szCs w:val="22"/>
              </w:rPr>
            </w:pPr>
            <w:r>
              <w:rPr>
                <w:rFonts w:hint="eastAsia" w:ascii="宋体" w:hAnsi="宋体" w:eastAsia="宋体" w:cs="宋体"/>
                <w:color w:val="000000"/>
                <w:kern w:val="0"/>
                <w:sz w:val="22"/>
                <w:szCs w:val="22"/>
                <w:lang w:bidi="ar"/>
              </w:rPr>
              <w:t>提吊试验</w:t>
            </w:r>
          </w:p>
        </w:tc>
        <w:tc>
          <w:tcPr>
            <w:tcW w:w="3495" w:type="dxa"/>
            <w:vAlign w:val="bottom"/>
          </w:tcPr>
          <w:p>
            <w:pPr>
              <w:widowControl/>
              <w:jc w:val="center"/>
              <w:textAlignment w:val="bottom"/>
              <w:rPr>
                <w:rFonts w:ascii="宋体" w:hAnsi="宋体" w:eastAsia="宋体" w:cs="宋体"/>
                <w:sz w:val="22"/>
                <w:szCs w:val="22"/>
              </w:rPr>
            </w:pPr>
            <w:r>
              <w:rPr>
                <w:rFonts w:hint="eastAsia" w:ascii="宋体" w:hAnsi="宋体" w:eastAsia="宋体" w:cs="宋体"/>
                <w:color w:val="000000"/>
                <w:kern w:val="0"/>
                <w:sz w:val="22"/>
                <w:szCs w:val="22"/>
                <w:lang w:bidi="ar"/>
              </w:rPr>
              <w:t>GB/T 24454-2009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tcPr>
          <w:p>
            <w:pPr>
              <w:spacing w:before="182" w:line="360" w:lineRule="auto"/>
              <w:ind w:left="693"/>
              <w:rPr>
                <w:rFonts w:ascii="宋体" w:hAnsi="宋体" w:eastAsia="宋体" w:cs="宋体"/>
                <w:sz w:val="22"/>
                <w:szCs w:val="22"/>
              </w:rPr>
            </w:pPr>
            <w:r>
              <w:rPr>
                <w:rFonts w:hint="eastAsia" w:ascii="宋体" w:hAnsi="宋体" w:eastAsia="宋体" w:cs="宋体"/>
                <w:sz w:val="22"/>
                <w:szCs w:val="22"/>
              </w:rPr>
              <w:t>8</w:t>
            </w:r>
          </w:p>
        </w:tc>
        <w:tc>
          <w:tcPr>
            <w:tcW w:w="3312" w:type="dxa"/>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标志</w:t>
            </w:r>
          </w:p>
        </w:tc>
        <w:tc>
          <w:tcPr>
            <w:tcW w:w="3495" w:type="dxa"/>
            <w:vAlign w:val="bottom"/>
          </w:tcPr>
          <w:p>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GB/T 24454-2009</w:t>
            </w:r>
          </w:p>
        </w:tc>
      </w:tr>
    </w:tbl>
    <w:p>
      <w:pPr>
        <w:widowControl/>
        <w:spacing w:line="360" w:lineRule="auto"/>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w:t>
      </w:r>
    </w:p>
    <w:p>
      <w:pPr>
        <w:widowControl/>
        <w:spacing w:line="360" w:lineRule="auto"/>
        <w:jc w:val="left"/>
      </w:pPr>
      <w:r>
        <w:rPr>
          <w:rFonts w:hint="eastAsia" w:ascii="宋体" w:hAnsi="宋体" w:eastAsia="宋体" w:cs="宋体"/>
          <w:color w:val="000000"/>
          <w:kern w:val="0"/>
          <w:sz w:val="18"/>
          <w:szCs w:val="18"/>
          <w:lang w:bidi="ar"/>
        </w:rPr>
        <w:t xml:space="preserve">1.上表所列检验项目是有关法律法规、标准等规定的，重点涉及健康、安全、节能、环保以及消费者、 </w:t>
      </w:r>
    </w:p>
    <w:p>
      <w:pPr>
        <w:widowControl/>
        <w:spacing w:line="360" w:lineRule="auto"/>
        <w:jc w:val="left"/>
      </w:pPr>
      <w:r>
        <w:rPr>
          <w:rFonts w:hint="eastAsia" w:ascii="宋体" w:hAnsi="宋体" w:eastAsia="宋体" w:cs="宋体"/>
          <w:color w:val="000000"/>
          <w:kern w:val="0"/>
          <w:sz w:val="18"/>
          <w:szCs w:val="18"/>
          <w:lang w:bidi="ar"/>
        </w:rPr>
        <w:t xml:space="preserve">有关组织反映有质量问题的重要项目。 </w:t>
      </w:r>
    </w:p>
    <w:p>
      <w:pPr>
        <w:widowControl/>
        <w:spacing w:line="360" w:lineRule="auto"/>
        <w:jc w:val="left"/>
      </w:pPr>
      <w:r>
        <w:rPr>
          <w:rFonts w:hint="eastAsia" w:ascii="宋体" w:hAnsi="宋体" w:eastAsia="宋体" w:cs="宋体"/>
          <w:color w:val="000000"/>
          <w:kern w:val="0"/>
          <w:sz w:val="18"/>
          <w:szCs w:val="18"/>
          <w:lang w:bidi="ar"/>
        </w:rPr>
        <w:t xml:space="preserve">2.检验方法包括相关产品标准及试验方法标准。 </w:t>
      </w:r>
    </w:p>
    <w:p>
      <w:pPr>
        <w:widowControl/>
        <w:spacing w:line="360" w:lineRule="auto"/>
        <w:jc w:val="left"/>
      </w:pPr>
      <w:r>
        <w:rPr>
          <w:rFonts w:hint="eastAsia" w:ascii="宋体" w:hAnsi="宋体" w:eastAsia="宋体" w:cs="宋体"/>
          <w:color w:val="000000"/>
          <w:kern w:val="0"/>
          <w:sz w:val="18"/>
          <w:szCs w:val="18"/>
          <w:lang w:bidi="ar"/>
        </w:rPr>
        <w:t xml:space="preserve">3.凡是注日期的文件，其随后所有的修改单（不包括勘误的内容）或修订版不适用于本细则。凡是不 </w:t>
      </w:r>
    </w:p>
    <w:p>
      <w:pPr>
        <w:widowControl/>
        <w:spacing w:line="360" w:lineRule="auto"/>
        <w:jc w:val="left"/>
      </w:pPr>
      <w:r>
        <w:rPr>
          <w:rFonts w:hint="eastAsia" w:ascii="宋体" w:hAnsi="宋体" w:eastAsia="宋体" w:cs="宋体"/>
          <w:color w:val="000000"/>
          <w:kern w:val="0"/>
          <w:sz w:val="18"/>
          <w:szCs w:val="18"/>
          <w:lang w:bidi="ar"/>
        </w:rPr>
        <w:t xml:space="preserve">注日期的文件，其最新版本适用于本细则。 </w:t>
      </w:r>
    </w:p>
    <w:p>
      <w:pPr>
        <w:widowControl/>
        <w:spacing w:line="360" w:lineRule="auto"/>
        <w:jc w:val="left"/>
      </w:pPr>
      <w:r>
        <w:rPr>
          <w:rFonts w:hint="eastAsia" w:ascii="宋体" w:hAnsi="宋体" w:eastAsia="宋体" w:cs="宋体"/>
          <w:color w:val="000000"/>
          <w:kern w:val="0"/>
          <w:sz w:val="18"/>
          <w:szCs w:val="18"/>
          <w:lang w:bidi="ar"/>
        </w:rPr>
        <w:t xml:space="preserve">4.执行企业标准、团体标准、地方标准的产品，检验项目参照上述内容执行。 </w:t>
      </w:r>
    </w:p>
    <w:p>
      <w:pPr>
        <w:widowControl/>
        <w:spacing w:line="360" w:lineRule="auto"/>
        <w:jc w:val="left"/>
        <w:rPr>
          <w:rFonts w:asciiTheme="minorEastAsia" w:hAnsiTheme="minorEastAsia"/>
          <w:b/>
        </w:rPr>
      </w:pPr>
      <w:r>
        <w:rPr>
          <w:rFonts w:hint="eastAsia" w:cs="黑体" w:asciiTheme="minorEastAsia" w:hAnsiTheme="minorEastAsia"/>
          <w:b/>
          <w:color w:val="000000"/>
          <w:kern w:val="0"/>
          <w:sz w:val="20"/>
          <w:szCs w:val="20"/>
          <w:lang w:bidi="ar"/>
        </w:rPr>
        <w:t xml:space="preserve">3． 判定规则 </w:t>
      </w:r>
    </w:p>
    <w:p>
      <w:pPr>
        <w:widowControl/>
        <w:spacing w:line="360" w:lineRule="auto"/>
        <w:jc w:val="left"/>
        <w:rPr>
          <w:rFonts w:asciiTheme="minorEastAsia" w:hAnsiTheme="minorEastAsia"/>
          <w:b/>
        </w:rPr>
      </w:pPr>
      <w:r>
        <w:rPr>
          <w:rFonts w:hint="eastAsia" w:cs="黑体" w:asciiTheme="minorEastAsia" w:hAnsiTheme="minorEastAsia"/>
          <w:b/>
          <w:color w:val="000000"/>
          <w:kern w:val="0"/>
          <w:sz w:val="20"/>
          <w:szCs w:val="20"/>
          <w:lang w:bidi="ar"/>
        </w:rPr>
        <w:t xml:space="preserve">3.1 依据标准 </w:t>
      </w:r>
    </w:p>
    <w:p>
      <w:pPr>
        <w:widowControl/>
        <w:spacing w:line="360" w:lineRule="auto"/>
        <w:jc w:val="left"/>
      </w:pPr>
      <w:r>
        <w:rPr>
          <w:rFonts w:hint="eastAsia" w:ascii="宋体" w:hAnsi="宋体" w:eastAsia="宋体" w:cs="宋体"/>
          <w:color w:val="000000"/>
          <w:kern w:val="0"/>
          <w:sz w:val="20"/>
          <w:szCs w:val="20"/>
          <w:lang w:bidi="ar"/>
        </w:rPr>
        <w:t xml:space="preserve">GB/T 24454-2009 塑料垃圾袋 </w:t>
      </w:r>
    </w:p>
    <w:p>
      <w:pPr>
        <w:widowControl/>
        <w:spacing w:line="360" w:lineRule="auto"/>
        <w:jc w:val="left"/>
      </w:pPr>
      <w:r>
        <w:rPr>
          <w:rFonts w:hint="eastAsia" w:ascii="宋体" w:hAnsi="宋体" w:eastAsia="宋体" w:cs="宋体"/>
          <w:color w:val="000000"/>
          <w:kern w:val="0"/>
          <w:sz w:val="20"/>
          <w:szCs w:val="20"/>
          <w:lang w:bidi="ar"/>
        </w:rPr>
        <w:t xml:space="preserve">现行有效的企业标准、团体标准、地方标准及产品明示质量要求。 </w:t>
      </w:r>
    </w:p>
    <w:p>
      <w:pPr>
        <w:widowControl/>
        <w:spacing w:line="360" w:lineRule="auto"/>
        <w:jc w:val="left"/>
        <w:rPr>
          <w:rFonts w:ascii="黑体" w:hAnsi="宋体" w:eastAsia="黑体" w:cs="黑体"/>
          <w:b/>
          <w:color w:val="000000"/>
          <w:kern w:val="0"/>
          <w:sz w:val="20"/>
          <w:szCs w:val="20"/>
          <w:lang w:bidi="ar"/>
        </w:rPr>
      </w:pPr>
      <w:r>
        <w:rPr>
          <w:rFonts w:hint="eastAsia" w:ascii="黑体" w:hAnsi="宋体" w:eastAsia="黑体" w:cs="黑体"/>
          <w:b/>
          <w:color w:val="000000"/>
          <w:kern w:val="0"/>
          <w:sz w:val="20"/>
          <w:szCs w:val="20"/>
          <w:lang w:bidi="ar"/>
        </w:rPr>
        <w:t>3.2 判定原则</w:t>
      </w:r>
    </w:p>
    <w:p>
      <w:pPr>
        <w:widowControl/>
        <w:spacing w:line="360" w:lineRule="auto"/>
        <w:jc w:val="left"/>
      </w:pPr>
      <w:r>
        <w:rPr>
          <w:rFonts w:hint="eastAsia" w:ascii="宋体" w:hAnsi="宋体" w:eastAsia="宋体" w:cs="宋体"/>
          <w:color w:val="000000"/>
          <w:kern w:val="0"/>
          <w:sz w:val="20"/>
          <w:szCs w:val="20"/>
          <w:lang w:bidi="ar"/>
        </w:rPr>
        <w:t xml:space="preserve">经检验，检验项目全部合格，判定为被抽查产品所检项目未发现不合格；检验项目中任一项或一项以上不合格，判定为被抽查产品不合格。 </w:t>
      </w:r>
    </w:p>
    <w:p>
      <w:pPr>
        <w:widowControl/>
        <w:spacing w:line="360" w:lineRule="auto"/>
        <w:jc w:val="left"/>
      </w:pPr>
      <w:r>
        <w:rPr>
          <w:rFonts w:hint="eastAsia" w:ascii="宋体" w:hAnsi="宋体" w:eastAsia="宋体" w:cs="宋体"/>
          <w:color w:val="000000"/>
          <w:kern w:val="0"/>
          <w:sz w:val="20"/>
          <w:szCs w:val="20"/>
          <w:lang w:bidi="ar"/>
        </w:rPr>
        <w:t xml:space="preserve">若被检产品明示的质量要求高于本细则中检验项目依据的标准要求时，应按被检产品明 </w:t>
      </w:r>
    </w:p>
    <w:p>
      <w:pPr>
        <w:widowControl/>
        <w:spacing w:line="360" w:lineRule="auto"/>
        <w:jc w:val="left"/>
      </w:pPr>
      <w:r>
        <w:rPr>
          <w:rFonts w:hint="eastAsia" w:ascii="宋体" w:hAnsi="宋体" w:eastAsia="宋体" w:cs="宋体"/>
          <w:color w:val="000000"/>
          <w:kern w:val="0"/>
          <w:sz w:val="20"/>
          <w:szCs w:val="20"/>
          <w:lang w:bidi="ar"/>
        </w:rPr>
        <w:t xml:space="preserve">示的质量要求判定。 </w:t>
      </w:r>
    </w:p>
    <w:p>
      <w:pPr>
        <w:widowControl/>
        <w:spacing w:line="360" w:lineRule="auto"/>
        <w:jc w:val="left"/>
      </w:pPr>
      <w:r>
        <w:rPr>
          <w:rFonts w:hint="eastAsia" w:ascii="宋体" w:hAnsi="宋体" w:eastAsia="宋体" w:cs="宋体"/>
          <w:color w:val="000000"/>
          <w:kern w:val="0"/>
          <w:sz w:val="20"/>
          <w:szCs w:val="20"/>
          <w:lang w:bidi="ar"/>
        </w:rPr>
        <w:t xml:space="preserve">若被检产品明示的质量要求低于本细则中检验项目依据的强制性标准要求时，应按照强 </w:t>
      </w:r>
    </w:p>
    <w:p>
      <w:pPr>
        <w:widowControl/>
        <w:spacing w:line="360" w:lineRule="auto"/>
        <w:jc w:val="left"/>
      </w:pPr>
      <w:r>
        <w:rPr>
          <w:rFonts w:hint="eastAsia" w:ascii="宋体" w:hAnsi="宋体" w:eastAsia="宋体" w:cs="宋体"/>
          <w:color w:val="000000"/>
          <w:kern w:val="0"/>
          <w:sz w:val="20"/>
          <w:szCs w:val="20"/>
          <w:lang w:bidi="ar"/>
        </w:rPr>
        <w:t xml:space="preserve">制性标准要求判定。 </w:t>
      </w:r>
    </w:p>
    <w:p>
      <w:pPr>
        <w:widowControl/>
        <w:spacing w:line="360" w:lineRule="auto"/>
        <w:jc w:val="left"/>
      </w:pPr>
      <w:r>
        <w:rPr>
          <w:rFonts w:hint="eastAsia" w:ascii="宋体" w:hAnsi="宋体" w:eastAsia="宋体" w:cs="宋体"/>
          <w:color w:val="000000"/>
          <w:kern w:val="0"/>
          <w:sz w:val="20"/>
          <w:szCs w:val="20"/>
          <w:lang w:bidi="ar"/>
        </w:rPr>
        <w:t xml:space="preserve">若被检产品明示的质量要求低于或包含本细则中检验项目依据的推荐性标准要求时，应 </w:t>
      </w:r>
    </w:p>
    <w:p>
      <w:pPr>
        <w:widowControl/>
        <w:spacing w:line="360" w:lineRule="auto"/>
        <w:jc w:val="left"/>
      </w:pPr>
      <w:r>
        <w:rPr>
          <w:rFonts w:hint="eastAsia" w:ascii="宋体" w:hAnsi="宋体" w:eastAsia="宋体" w:cs="宋体"/>
          <w:color w:val="000000"/>
          <w:kern w:val="0"/>
          <w:sz w:val="20"/>
          <w:szCs w:val="20"/>
          <w:lang w:bidi="ar"/>
        </w:rPr>
        <w:t xml:space="preserve">以被检产品明示的质量要求判定（最小厚度及厚度项目除外），但应在检验报告备注中进行 </w:t>
      </w:r>
    </w:p>
    <w:p>
      <w:pPr>
        <w:widowControl/>
        <w:spacing w:line="360" w:lineRule="auto"/>
        <w:jc w:val="left"/>
      </w:pPr>
      <w:r>
        <w:rPr>
          <w:rFonts w:hint="eastAsia" w:ascii="宋体" w:hAnsi="宋体" w:eastAsia="宋体" w:cs="宋体"/>
          <w:color w:val="000000"/>
          <w:kern w:val="0"/>
          <w:sz w:val="20"/>
          <w:szCs w:val="20"/>
          <w:lang w:bidi="ar"/>
        </w:rPr>
        <w:t>说明。</w:t>
      </w:r>
    </w:p>
    <w:p>
      <w:pPr>
        <w:widowControl/>
        <w:spacing w:line="360" w:lineRule="auto"/>
        <w:jc w:val="left"/>
      </w:pPr>
      <w:r>
        <w:rPr>
          <w:rFonts w:hint="eastAsia" w:ascii="宋体" w:hAnsi="宋体" w:eastAsia="宋体" w:cs="宋体"/>
          <w:color w:val="000000"/>
          <w:kern w:val="0"/>
          <w:sz w:val="20"/>
          <w:szCs w:val="20"/>
          <w:lang w:bidi="ar"/>
        </w:rPr>
        <w:t xml:space="preserve">若被检产品明示的质量要求缺少本细则中检验项目依据的强制性标准要求时，应按照强 </w:t>
      </w:r>
    </w:p>
    <w:p>
      <w:pPr>
        <w:widowControl/>
        <w:spacing w:line="360" w:lineRule="auto"/>
        <w:jc w:val="left"/>
      </w:pPr>
      <w:r>
        <w:rPr>
          <w:rFonts w:hint="eastAsia" w:ascii="宋体" w:hAnsi="宋体" w:eastAsia="宋体" w:cs="宋体"/>
          <w:color w:val="000000"/>
          <w:kern w:val="0"/>
          <w:sz w:val="20"/>
          <w:szCs w:val="20"/>
          <w:lang w:bidi="ar"/>
        </w:rPr>
        <w:t xml:space="preserve">制性标准要求判定。 </w:t>
      </w:r>
    </w:p>
    <w:p>
      <w:pPr>
        <w:widowControl/>
        <w:spacing w:line="360" w:lineRule="auto"/>
        <w:jc w:val="left"/>
      </w:pPr>
      <w:r>
        <w:rPr>
          <w:rFonts w:hint="eastAsia" w:ascii="宋体" w:hAnsi="宋体" w:eastAsia="宋体" w:cs="宋体"/>
          <w:color w:val="000000"/>
          <w:kern w:val="0"/>
          <w:sz w:val="20"/>
          <w:szCs w:val="20"/>
          <w:lang w:bidi="ar"/>
        </w:rPr>
        <w:t xml:space="preserve">若被检产品明示的质量要求缺少本细则中检验项目依据的推荐性标准要求时，该项目不 </w:t>
      </w:r>
    </w:p>
    <w:p>
      <w:pPr>
        <w:widowControl/>
        <w:spacing w:line="360" w:lineRule="auto"/>
        <w:jc w:val="left"/>
      </w:pPr>
      <w:r>
        <w:rPr>
          <w:rFonts w:hint="eastAsia" w:ascii="宋体" w:hAnsi="宋体" w:eastAsia="宋体" w:cs="宋体"/>
          <w:color w:val="000000"/>
          <w:kern w:val="0"/>
          <w:sz w:val="20"/>
          <w:szCs w:val="20"/>
          <w:lang w:bidi="ar"/>
        </w:rPr>
        <w:t>参与判定，但应在检验报告备注中进行说明。</w:t>
      </w:r>
    </w:p>
    <w:p/>
    <w:p/>
    <w:p/>
    <w:p/>
    <w:p/>
    <w:p/>
    <w:p/>
    <w:p/>
    <w:p/>
    <w:p/>
    <w:p/>
    <w:p/>
    <w:p/>
    <w:p/>
    <w:p/>
    <w:p/>
    <w:p/>
    <w:p/>
    <w:p/>
    <w:p/>
    <w:p>
      <w:pPr>
        <w:widowControl/>
        <w:spacing w:line="360" w:lineRule="auto"/>
        <w:jc w:val="center"/>
        <w:rPr>
          <w:rFonts w:asciiTheme="minorEastAsia" w:hAnsiTheme="minorEastAsia"/>
          <w:b/>
          <w:sz w:val="28"/>
          <w:szCs w:val="28"/>
        </w:rPr>
      </w:pPr>
      <w:r>
        <w:rPr>
          <w:rFonts w:cs="黑体" w:asciiTheme="minorEastAsia" w:hAnsiTheme="minorEastAsia"/>
          <w:b/>
          <w:color w:val="000000"/>
          <w:kern w:val="0"/>
          <w:sz w:val="28"/>
          <w:szCs w:val="28"/>
          <w:lang w:val="en" w:bidi="ar"/>
        </w:rPr>
        <w:t>非食品接触用</w:t>
      </w:r>
      <w:bookmarkStart w:id="0" w:name="_GoBack"/>
      <w:bookmarkEnd w:id="0"/>
      <w:r>
        <w:rPr>
          <w:rFonts w:cs="黑体" w:asciiTheme="minorEastAsia" w:hAnsiTheme="minorEastAsia"/>
          <w:b/>
          <w:color w:val="000000"/>
          <w:kern w:val="0"/>
          <w:sz w:val="28"/>
          <w:szCs w:val="28"/>
          <w:lang w:bidi="ar"/>
        </w:rPr>
        <w:t>塑料购物袋产品质量</w:t>
      </w:r>
      <w:r>
        <w:rPr>
          <w:rFonts w:hint="eastAsia" w:cs="黑体" w:asciiTheme="minorEastAsia" w:hAnsiTheme="minorEastAsia"/>
          <w:b/>
          <w:color w:val="000000"/>
          <w:kern w:val="0"/>
          <w:sz w:val="28"/>
          <w:szCs w:val="28"/>
          <w:lang w:bidi="ar"/>
        </w:rPr>
        <w:t>市级</w:t>
      </w:r>
      <w:r>
        <w:rPr>
          <w:rFonts w:cs="黑体" w:asciiTheme="minorEastAsia" w:hAnsiTheme="minorEastAsia"/>
          <w:b/>
          <w:color w:val="000000"/>
          <w:kern w:val="0"/>
          <w:sz w:val="28"/>
          <w:szCs w:val="28"/>
          <w:lang w:bidi="ar"/>
        </w:rPr>
        <w:t>监督抽查实施细则</w:t>
      </w:r>
    </w:p>
    <w:p>
      <w:pPr>
        <w:widowControl/>
        <w:spacing w:line="360" w:lineRule="auto"/>
        <w:jc w:val="left"/>
        <w:rPr>
          <w:b/>
        </w:rPr>
      </w:pPr>
      <w:r>
        <w:rPr>
          <w:rFonts w:hint="eastAsia" w:ascii="黑体" w:hAnsi="宋体" w:eastAsia="黑体" w:cs="黑体"/>
          <w:b/>
          <w:color w:val="000000"/>
          <w:kern w:val="0"/>
          <w:sz w:val="20"/>
          <w:szCs w:val="20"/>
          <w:lang w:bidi="ar"/>
        </w:rPr>
        <w:t xml:space="preserve">1 抽样方法 </w:t>
      </w:r>
    </w:p>
    <w:p>
      <w:pPr>
        <w:widowControl/>
        <w:spacing w:line="360" w:lineRule="auto"/>
        <w:ind w:firstLine="400" w:firstLineChars="200"/>
        <w:jc w:val="left"/>
      </w:pPr>
      <w:r>
        <w:rPr>
          <w:rFonts w:hint="eastAsia" w:ascii="宋体" w:hAnsi="宋体" w:eastAsia="宋体" w:cs="宋体"/>
          <w:color w:val="000000"/>
          <w:kern w:val="0"/>
          <w:sz w:val="20"/>
          <w:szCs w:val="20"/>
          <w:lang w:bidi="ar"/>
        </w:rPr>
        <w:t xml:space="preserve">以随机抽样的方式在被抽样生产者、销售者的待销产品中抽取。 </w:t>
      </w:r>
    </w:p>
    <w:p>
      <w:pPr>
        <w:widowControl/>
        <w:spacing w:line="360" w:lineRule="auto"/>
        <w:ind w:firstLine="400" w:firstLineChars="200"/>
        <w:jc w:val="left"/>
      </w:pPr>
      <w:r>
        <w:rPr>
          <w:rFonts w:hint="eastAsia" w:ascii="宋体" w:hAnsi="宋体" w:eastAsia="宋体" w:cs="宋体"/>
          <w:color w:val="000000"/>
          <w:kern w:val="0"/>
          <w:sz w:val="20"/>
          <w:szCs w:val="20"/>
          <w:lang w:bidi="ar"/>
        </w:rPr>
        <w:t xml:space="preserve">随机数一般可使用随机数表、骰子或扑克牌等方法产生。 </w:t>
      </w:r>
    </w:p>
    <w:p>
      <w:pPr>
        <w:widowControl/>
        <w:spacing w:line="360" w:lineRule="auto"/>
        <w:ind w:firstLine="400" w:firstLineChars="200"/>
        <w:jc w:val="left"/>
      </w:pPr>
      <w:r>
        <w:rPr>
          <w:rFonts w:hint="eastAsia" w:ascii="宋体" w:hAnsi="宋体" w:eastAsia="宋体" w:cs="宋体"/>
          <w:color w:val="000000"/>
          <w:kern w:val="0"/>
          <w:sz w:val="20"/>
          <w:szCs w:val="20"/>
          <w:lang w:bidi="ar"/>
        </w:rPr>
        <w:t xml:space="preserve">每批次产品抽取样品 100 个，其中 50 个作为检验样品，50 个作为备用样品，备用样品 </w:t>
      </w:r>
    </w:p>
    <w:p>
      <w:pPr>
        <w:widowControl/>
        <w:spacing w:line="360" w:lineRule="auto"/>
        <w:jc w:val="left"/>
      </w:pPr>
      <w:r>
        <w:rPr>
          <w:rFonts w:hint="eastAsia" w:ascii="宋体" w:hAnsi="宋体" w:eastAsia="宋体" w:cs="宋体"/>
          <w:color w:val="000000"/>
          <w:kern w:val="0"/>
          <w:sz w:val="20"/>
          <w:szCs w:val="20"/>
          <w:lang w:bidi="ar"/>
        </w:rPr>
        <w:t xml:space="preserve">封存于受检单位。 </w:t>
      </w:r>
    </w:p>
    <w:p>
      <w:pPr>
        <w:widowControl/>
        <w:spacing w:line="360" w:lineRule="auto"/>
        <w:jc w:val="left"/>
        <w:rPr>
          <w:rFonts w:asciiTheme="minorEastAsia" w:hAnsiTheme="minorEastAsia"/>
          <w:b/>
        </w:rPr>
      </w:pPr>
      <w:r>
        <w:rPr>
          <w:rFonts w:hint="eastAsia" w:cs="黑体" w:asciiTheme="minorEastAsia" w:hAnsiTheme="minorEastAsia"/>
          <w:b/>
          <w:color w:val="000000"/>
          <w:kern w:val="0"/>
          <w:sz w:val="20"/>
          <w:szCs w:val="20"/>
          <w:lang w:bidi="ar"/>
        </w:rPr>
        <w:t xml:space="preserve">2 检验依据 </w:t>
      </w:r>
    </w:p>
    <w:p>
      <w:pPr>
        <w:widowControl/>
        <w:spacing w:line="360" w:lineRule="auto"/>
        <w:jc w:val="center"/>
        <w:rPr>
          <w:rFonts w:ascii="黑体" w:hAnsi="宋体" w:eastAsia="黑体" w:cs="黑体"/>
          <w:color w:val="000000"/>
          <w:kern w:val="0"/>
          <w:sz w:val="20"/>
          <w:szCs w:val="20"/>
          <w:lang w:bidi="ar"/>
        </w:rPr>
      </w:pPr>
      <w:r>
        <w:rPr>
          <w:rFonts w:hint="eastAsia" w:cs="黑体" w:asciiTheme="minorEastAsia" w:hAnsiTheme="minorEastAsia"/>
          <w:b/>
          <w:color w:val="000000"/>
          <w:kern w:val="0"/>
          <w:sz w:val="20"/>
          <w:szCs w:val="20"/>
          <w:lang w:bidi="ar"/>
        </w:rPr>
        <w:t>表 1 塑料购物袋检验项目</w:t>
      </w:r>
    </w:p>
    <w:tbl>
      <w:tblPr>
        <w:tblStyle w:val="6"/>
        <w:tblW w:w="8285"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3312"/>
        <w:gridCol w:w="3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78" w:type="dxa"/>
          </w:tcPr>
          <w:p>
            <w:pPr>
              <w:spacing w:before="212" w:line="360" w:lineRule="auto"/>
              <w:ind w:left="535"/>
              <w:rPr>
                <w:rFonts w:ascii="宋体" w:hAnsi="宋体" w:eastAsia="宋体" w:cs="宋体"/>
                <w:sz w:val="22"/>
                <w:szCs w:val="22"/>
              </w:rPr>
            </w:pPr>
            <w:r>
              <w:rPr>
                <w:rFonts w:hint="eastAsia" w:ascii="宋体" w:hAnsi="宋体" w:eastAsia="宋体" w:cs="宋体"/>
                <w:spacing w:val="5"/>
                <w:sz w:val="22"/>
                <w:szCs w:val="22"/>
              </w:rPr>
              <w:t>序</w:t>
            </w:r>
            <w:r>
              <w:rPr>
                <w:rFonts w:hint="eastAsia" w:ascii="宋体" w:hAnsi="宋体" w:eastAsia="宋体" w:cs="宋体"/>
                <w:spacing w:val="4"/>
                <w:sz w:val="22"/>
                <w:szCs w:val="22"/>
              </w:rPr>
              <w:t>号</w:t>
            </w:r>
          </w:p>
        </w:tc>
        <w:tc>
          <w:tcPr>
            <w:tcW w:w="3312" w:type="dxa"/>
          </w:tcPr>
          <w:p>
            <w:pPr>
              <w:spacing w:before="211" w:line="360" w:lineRule="auto"/>
              <w:ind w:left="1239"/>
              <w:rPr>
                <w:rFonts w:ascii="宋体" w:hAnsi="宋体" w:eastAsia="宋体" w:cs="宋体"/>
                <w:sz w:val="22"/>
                <w:szCs w:val="22"/>
              </w:rPr>
            </w:pPr>
            <w:r>
              <w:rPr>
                <w:rFonts w:hint="eastAsia" w:ascii="宋体" w:hAnsi="宋体" w:eastAsia="宋体" w:cs="宋体"/>
                <w:spacing w:val="8"/>
                <w:sz w:val="22"/>
                <w:szCs w:val="22"/>
              </w:rPr>
              <w:t>检验项目</w:t>
            </w:r>
          </w:p>
        </w:tc>
        <w:tc>
          <w:tcPr>
            <w:tcW w:w="3495" w:type="dxa"/>
          </w:tcPr>
          <w:p>
            <w:pPr>
              <w:spacing w:before="212" w:line="360" w:lineRule="auto"/>
              <w:ind w:left="1330"/>
              <w:rPr>
                <w:rFonts w:ascii="宋体" w:hAnsi="宋体" w:eastAsia="宋体" w:cs="宋体"/>
                <w:sz w:val="22"/>
                <w:szCs w:val="22"/>
              </w:rPr>
            </w:pPr>
            <w:r>
              <w:rPr>
                <w:rFonts w:hint="eastAsia" w:ascii="宋体" w:hAnsi="宋体" w:eastAsia="宋体" w:cs="宋体"/>
                <w:spacing w:val="8"/>
                <w:sz w:val="22"/>
                <w:szCs w:val="2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tcPr>
          <w:p>
            <w:pPr>
              <w:spacing w:before="179" w:line="360" w:lineRule="auto"/>
              <w:ind w:left="707"/>
              <w:rPr>
                <w:rFonts w:ascii="宋体" w:hAnsi="宋体" w:eastAsia="宋体" w:cs="宋体"/>
                <w:sz w:val="22"/>
                <w:szCs w:val="22"/>
              </w:rPr>
            </w:pPr>
            <w:r>
              <w:rPr>
                <w:rFonts w:hint="eastAsia" w:ascii="宋体" w:hAnsi="宋体" w:eastAsia="宋体" w:cs="宋体"/>
                <w:sz w:val="22"/>
                <w:szCs w:val="22"/>
              </w:rPr>
              <w:t>1</w:t>
            </w:r>
          </w:p>
        </w:tc>
        <w:tc>
          <w:tcPr>
            <w:tcW w:w="3312" w:type="dxa"/>
            <w:vAlign w:val="center"/>
          </w:tcPr>
          <w:p>
            <w:pPr>
              <w:widowControl/>
              <w:spacing w:line="360" w:lineRule="auto"/>
              <w:jc w:val="center"/>
              <w:textAlignment w:val="center"/>
              <w:rPr>
                <w:rFonts w:ascii="宋体" w:hAnsi="宋体" w:eastAsia="宋体" w:cs="宋体"/>
                <w:sz w:val="22"/>
                <w:szCs w:val="22"/>
              </w:rPr>
            </w:pPr>
            <w:r>
              <w:rPr>
                <w:rFonts w:hint="eastAsia" w:ascii="宋体" w:hAnsi="宋体" w:eastAsia="宋体" w:cs="宋体"/>
                <w:color w:val="000000"/>
                <w:kern w:val="0"/>
                <w:sz w:val="22"/>
                <w:szCs w:val="22"/>
                <w:lang w:bidi="ar"/>
              </w:rPr>
              <w:t>宽度和长度偏差</w:t>
            </w:r>
          </w:p>
        </w:tc>
        <w:tc>
          <w:tcPr>
            <w:tcW w:w="3495" w:type="dxa"/>
            <w:vAlign w:val="bottom"/>
          </w:tcPr>
          <w:p>
            <w:pPr>
              <w:widowControl/>
              <w:spacing w:line="360" w:lineRule="auto"/>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GB/T 21661-2020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tcPr>
          <w:p>
            <w:pPr>
              <w:spacing w:before="181" w:line="360" w:lineRule="auto"/>
              <w:ind w:left="694"/>
              <w:rPr>
                <w:rFonts w:ascii="宋体" w:hAnsi="宋体" w:eastAsia="宋体" w:cs="宋体"/>
                <w:sz w:val="22"/>
                <w:szCs w:val="22"/>
              </w:rPr>
            </w:pPr>
            <w:r>
              <w:rPr>
                <w:rFonts w:hint="eastAsia" w:ascii="宋体" w:hAnsi="宋体" w:eastAsia="宋体" w:cs="宋体"/>
                <w:sz w:val="22"/>
                <w:szCs w:val="22"/>
              </w:rPr>
              <w:t>2</w:t>
            </w:r>
          </w:p>
        </w:tc>
        <w:tc>
          <w:tcPr>
            <w:tcW w:w="3312" w:type="dxa"/>
            <w:vAlign w:val="center"/>
          </w:tcPr>
          <w:p>
            <w:pPr>
              <w:widowControl/>
              <w:spacing w:line="360" w:lineRule="auto"/>
              <w:jc w:val="center"/>
              <w:textAlignment w:val="center"/>
              <w:rPr>
                <w:rFonts w:ascii="宋体" w:hAnsi="宋体" w:eastAsia="宋体" w:cs="宋体"/>
                <w:sz w:val="22"/>
                <w:szCs w:val="22"/>
              </w:rPr>
            </w:pPr>
            <w:r>
              <w:rPr>
                <w:rFonts w:hint="eastAsia" w:ascii="宋体" w:hAnsi="宋体" w:eastAsia="宋体" w:cs="宋体"/>
                <w:color w:val="000000"/>
                <w:kern w:val="0"/>
                <w:sz w:val="22"/>
                <w:szCs w:val="22"/>
                <w:lang w:bidi="ar"/>
              </w:rPr>
              <w:t>感官</w:t>
            </w:r>
          </w:p>
        </w:tc>
        <w:tc>
          <w:tcPr>
            <w:tcW w:w="3495" w:type="dxa"/>
            <w:vAlign w:val="bottom"/>
          </w:tcPr>
          <w:p>
            <w:pPr>
              <w:widowControl/>
              <w:spacing w:line="360" w:lineRule="auto"/>
              <w:jc w:val="center"/>
              <w:textAlignment w:val="bottom"/>
              <w:rPr>
                <w:rFonts w:ascii="宋体" w:hAnsi="宋体" w:eastAsia="宋体" w:cs="宋体"/>
                <w:sz w:val="22"/>
                <w:szCs w:val="22"/>
              </w:rPr>
            </w:pPr>
            <w:r>
              <w:rPr>
                <w:rFonts w:hint="eastAsia" w:ascii="宋体" w:hAnsi="宋体" w:eastAsia="宋体" w:cs="宋体"/>
                <w:color w:val="000000"/>
                <w:kern w:val="0"/>
                <w:sz w:val="22"/>
                <w:szCs w:val="22"/>
                <w:lang w:bidi="ar"/>
              </w:rPr>
              <w:t>GB/T 21661-2020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tcPr>
          <w:p>
            <w:pPr>
              <w:spacing w:before="181" w:line="360" w:lineRule="auto"/>
              <w:ind w:left="695"/>
              <w:rPr>
                <w:rFonts w:ascii="宋体" w:hAnsi="宋体" w:eastAsia="宋体" w:cs="宋体"/>
                <w:sz w:val="22"/>
                <w:szCs w:val="22"/>
              </w:rPr>
            </w:pPr>
            <w:r>
              <w:rPr>
                <w:rFonts w:hint="eastAsia" w:ascii="宋体" w:hAnsi="宋体" w:eastAsia="宋体" w:cs="宋体"/>
                <w:sz w:val="22"/>
                <w:szCs w:val="22"/>
              </w:rPr>
              <w:t>3</w:t>
            </w:r>
          </w:p>
        </w:tc>
        <w:tc>
          <w:tcPr>
            <w:tcW w:w="3312" w:type="dxa"/>
            <w:vAlign w:val="center"/>
          </w:tcPr>
          <w:p>
            <w:pPr>
              <w:widowControl/>
              <w:spacing w:line="360" w:lineRule="auto"/>
              <w:jc w:val="center"/>
              <w:textAlignment w:val="center"/>
              <w:rPr>
                <w:rFonts w:ascii="宋体" w:hAnsi="宋体" w:eastAsia="宋体" w:cs="宋体"/>
                <w:sz w:val="22"/>
                <w:szCs w:val="22"/>
              </w:rPr>
            </w:pPr>
            <w:r>
              <w:rPr>
                <w:rFonts w:hint="eastAsia" w:ascii="宋体" w:hAnsi="宋体" w:eastAsia="宋体" w:cs="宋体"/>
                <w:color w:val="000000"/>
                <w:kern w:val="0"/>
                <w:sz w:val="22"/>
                <w:szCs w:val="22"/>
                <w:lang w:bidi="ar"/>
              </w:rPr>
              <w:t>印刷质量</w:t>
            </w:r>
          </w:p>
        </w:tc>
        <w:tc>
          <w:tcPr>
            <w:tcW w:w="3495" w:type="dxa"/>
            <w:vAlign w:val="bottom"/>
          </w:tcPr>
          <w:p>
            <w:pPr>
              <w:widowControl/>
              <w:spacing w:line="360" w:lineRule="auto"/>
              <w:jc w:val="center"/>
              <w:textAlignment w:val="bottom"/>
              <w:rPr>
                <w:rFonts w:ascii="宋体" w:hAnsi="宋体" w:eastAsia="宋体" w:cs="宋体"/>
                <w:sz w:val="22"/>
                <w:szCs w:val="22"/>
              </w:rPr>
            </w:pPr>
            <w:r>
              <w:rPr>
                <w:rFonts w:hint="eastAsia" w:ascii="宋体" w:hAnsi="宋体" w:eastAsia="宋体" w:cs="宋体"/>
                <w:color w:val="000000"/>
                <w:kern w:val="0"/>
                <w:sz w:val="22"/>
                <w:szCs w:val="22"/>
                <w:lang w:bidi="ar"/>
              </w:rPr>
              <w:t>GB/T 21661-2020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tcPr>
          <w:p>
            <w:pPr>
              <w:spacing w:before="180" w:line="360" w:lineRule="auto"/>
              <w:ind w:left="690"/>
              <w:rPr>
                <w:rFonts w:ascii="宋体" w:hAnsi="宋体" w:eastAsia="宋体" w:cs="宋体"/>
                <w:sz w:val="22"/>
                <w:szCs w:val="22"/>
              </w:rPr>
            </w:pPr>
            <w:r>
              <w:rPr>
                <w:rFonts w:hint="eastAsia" w:ascii="宋体" w:hAnsi="宋体" w:eastAsia="宋体" w:cs="宋体"/>
                <w:sz w:val="22"/>
                <w:szCs w:val="22"/>
              </w:rPr>
              <w:t>4</w:t>
            </w:r>
          </w:p>
        </w:tc>
        <w:tc>
          <w:tcPr>
            <w:tcW w:w="3312" w:type="dxa"/>
            <w:shd w:val="clear" w:color="auto" w:fill="auto"/>
            <w:vAlign w:val="center"/>
          </w:tcPr>
          <w:p>
            <w:pPr>
              <w:widowControl/>
              <w:spacing w:line="360" w:lineRule="auto"/>
              <w:jc w:val="center"/>
              <w:textAlignment w:val="center"/>
              <w:rPr>
                <w:rFonts w:ascii="宋体" w:hAnsi="宋体" w:eastAsia="宋体" w:cs="宋体"/>
                <w:sz w:val="22"/>
                <w:szCs w:val="22"/>
              </w:rPr>
            </w:pPr>
            <w:r>
              <w:rPr>
                <w:rFonts w:hint="eastAsia" w:ascii="宋体" w:hAnsi="宋体" w:eastAsia="宋体" w:cs="宋体"/>
                <w:color w:val="000000"/>
                <w:kern w:val="0"/>
                <w:sz w:val="22"/>
                <w:szCs w:val="22"/>
                <w:lang w:bidi="ar"/>
              </w:rPr>
              <w:t>跌落实验</w:t>
            </w:r>
          </w:p>
        </w:tc>
        <w:tc>
          <w:tcPr>
            <w:tcW w:w="3495" w:type="dxa"/>
            <w:shd w:val="clear" w:color="auto" w:fill="auto"/>
            <w:vAlign w:val="bottom"/>
          </w:tcPr>
          <w:p>
            <w:pPr>
              <w:widowControl/>
              <w:spacing w:line="360" w:lineRule="auto"/>
              <w:jc w:val="center"/>
              <w:textAlignment w:val="bottom"/>
              <w:rPr>
                <w:rFonts w:ascii="宋体" w:hAnsi="宋体" w:eastAsia="宋体" w:cs="宋体"/>
                <w:sz w:val="22"/>
                <w:szCs w:val="22"/>
              </w:rPr>
            </w:pPr>
            <w:r>
              <w:rPr>
                <w:rFonts w:hint="eastAsia" w:ascii="宋体" w:hAnsi="宋体" w:eastAsia="宋体" w:cs="宋体"/>
                <w:color w:val="000000"/>
                <w:kern w:val="0"/>
                <w:sz w:val="22"/>
                <w:szCs w:val="22"/>
                <w:lang w:bidi="ar"/>
              </w:rPr>
              <w:t>GB/T 21661-2020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tcPr>
          <w:p>
            <w:pPr>
              <w:spacing w:before="183" w:line="360" w:lineRule="auto"/>
              <w:ind w:left="695"/>
              <w:rPr>
                <w:rFonts w:ascii="宋体" w:hAnsi="宋体" w:eastAsia="宋体" w:cs="宋体"/>
                <w:sz w:val="22"/>
                <w:szCs w:val="22"/>
              </w:rPr>
            </w:pPr>
            <w:r>
              <w:rPr>
                <w:rFonts w:hint="eastAsia" w:ascii="宋体" w:hAnsi="宋体" w:eastAsia="宋体" w:cs="宋体"/>
                <w:sz w:val="22"/>
                <w:szCs w:val="22"/>
              </w:rPr>
              <w:t>5</w:t>
            </w:r>
          </w:p>
        </w:tc>
        <w:tc>
          <w:tcPr>
            <w:tcW w:w="3312" w:type="dxa"/>
            <w:vAlign w:val="center"/>
          </w:tcPr>
          <w:p>
            <w:pPr>
              <w:widowControl/>
              <w:spacing w:line="360" w:lineRule="auto"/>
              <w:jc w:val="center"/>
              <w:textAlignment w:val="center"/>
              <w:rPr>
                <w:rFonts w:ascii="宋体" w:hAnsi="宋体" w:eastAsia="宋体" w:cs="宋体"/>
                <w:sz w:val="22"/>
                <w:szCs w:val="22"/>
              </w:rPr>
            </w:pPr>
            <w:r>
              <w:rPr>
                <w:rFonts w:hint="eastAsia" w:ascii="宋体" w:hAnsi="宋体" w:eastAsia="宋体" w:cs="宋体"/>
                <w:color w:val="000000"/>
                <w:kern w:val="0"/>
                <w:sz w:val="22"/>
                <w:szCs w:val="22"/>
                <w:lang w:bidi="ar"/>
              </w:rPr>
              <w:t>漏水性试验</w:t>
            </w:r>
          </w:p>
        </w:tc>
        <w:tc>
          <w:tcPr>
            <w:tcW w:w="3495" w:type="dxa"/>
            <w:vAlign w:val="bottom"/>
          </w:tcPr>
          <w:p>
            <w:pPr>
              <w:widowControl/>
              <w:spacing w:line="360" w:lineRule="auto"/>
              <w:jc w:val="center"/>
              <w:textAlignment w:val="bottom"/>
              <w:rPr>
                <w:rFonts w:ascii="宋体" w:hAnsi="宋体" w:eastAsia="宋体" w:cs="宋体"/>
                <w:sz w:val="22"/>
                <w:szCs w:val="22"/>
              </w:rPr>
            </w:pPr>
            <w:r>
              <w:rPr>
                <w:rFonts w:hint="eastAsia" w:ascii="宋体" w:hAnsi="宋体" w:eastAsia="宋体" w:cs="宋体"/>
                <w:color w:val="000000"/>
                <w:kern w:val="0"/>
                <w:sz w:val="22"/>
                <w:szCs w:val="22"/>
                <w:lang w:bidi="ar"/>
              </w:rPr>
              <w:t>GB/T 21661-2020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tcPr>
          <w:p>
            <w:pPr>
              <w:spacing w:before="182" w:line="360" w:lineRule="auto"/>
              <w:ind w:left="693"/>
              <w:rPr>
                <w:rFonts w:ascii="宋体" w:hAnsi="宋体" w:eastAsia="宋体" w:cs="宋体"/>
                <w:sz w:val="22"/>
                <w:szCs w:val="22"/>
              </w:rPr>
            </w:pPr>
            <w:r>
              <w:rPr>
                <w:rFonts w:hint="eastAsia" w:ascii="宋体" w:hAnsi="宋体" w:eastAsia="宋体" w:cs="宋体"/>
                <w:sz w:val="22"/>
                <w:szCs w:val="22"/>
              </w:rPr>
              <w:t>6</w:t>
            </w:r>
          </w:p>
        </w:tc>
        <w:tc>
          <w:tcPr>
            <w:tcW w:w="3312" w:type="dxa"/>
            <w:vAlign w:val="center"/>
          </w:tcPr>
          <w:p>
            <w:pPr>
              <w:widowControl/>
              <w:spacing w:line="360" w:lineRule="auto"/>
              <w:jc w:val="center"/>
              <w:textAlignment w:val="center"/>
              <w:rPr>
                <w:rFonts w:ascii="宋体" w:hAnsi="宋体" w:eastAsia="宋体" w:cs="宋体"/>
                <w:sz w:val="22"/>
                <w:szCs w:val="22"/>
              </w:rPr>
            </w:pPr>
            <w:r>
              <w:rPr>
                <w:rFonts w:hint="eastAsia" w:ascii="宋体" w:hAnsi="宋体" w:eastAsia="宋体" w:cs="宋体"/>
                <w:color w:val="000000"/>
                <w:kern w:val="0"/>
                <w:sz w:val="22"/>
                <w:szCs w:val="22"/>
                <w:lang w:bidi="ar"/>
              </w:rPr>
              <w:t>封合强度试验</w:t>
            </w:r>
          </w:p>
        </w:tc>
        <w:tc>
          <w:tcPr>
            <w:tcW w:w="3495" w:type="dxa"/>
            <w:vAlign w:val="bottom"/>
          </w:tcPr>
          <w:p>
            <w:pPr>
              <w:widowControl/>
              <w:spacing w:line="360" w:lineRule="auto"/>
              <w:jc w:val="center"/>
              <w:textAlignment w:val="bottom"/>
              <w:rPr>
                <w:rFonts w:ascii="宋体" w:hAnsi="宋体" w:eastAsia="宋体" w:cs="宋体"/>
                <w:sz w:val="22"/>
                <w:szCs w:val="22"/>
              </w:rPr>
            </w:pPr>
            <w:r>
              <w:rPr>
                <w:rFonts w:hint="eastAsia" w:ascii="宋体" w:hAnsi="宋体" w:eastAsia="宋体" w:cs="宋体"/>
                <w:color w:val="000000"/>
                <w:kern w:val="0"/>
                <w:sz w:val="22"/>
                <w:szCs w:val="22"/>
                <w:lang w:bidi="ar"/>
              </w:rPr>
              <w:t>QB/T 2358-1998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tcPr>
          <w:p>
            <w:pPr>
              <w:spacing w:before="182" w:line="360" w:lineRule="auto"/>
              <w:ind w:left="693"/>
              <w:rPr>
                <w:rFonts w:ascii="宋体" w:hAnsi="宋体" w:eastAsia="宋体" w:cs="宋体"/>
                <w:sz w:val="22"/>
                <w:szCs w:val="22"/>
              </w:rPr>
            </w:pPr>
            <w:r>
              <w:rPr>
                <w:rFonts w:hint="eastAsia" w:ascii="宋体" w:hAnsi="宋体" w:eastAsia="宋体" w:cs="宋体"/>
                <w:sz w:val="22"/>
                <w:szCs w:val="22"/>
              </w:rPr>
              <w:t>7</w:t>
            </w:r>
          </w:p>
        </w:tc>
        <w:tc>
          <w:tcPr>
            <w:tcW w:w="3312" w:type="dxa"/>
            <w:vAlign w:val="center"/>
          </w:tcPr>
          <w:p>
            <w:pPr>
              <w:widowControl/>
              <w:spacing w:line="360" w:lineRule="auto"/>
              <w:jc w:val="center"/>
              <w:textAlignment w:val="center"/>
              <w:rPr>
                <w:rFonts w:ascii="宋体" w:hAnsi="宋体" w:eastAsia="宋体" w:cs="宋体"/>
                <w:sz w:val="22"/>
                <w:szCs w:val="22"/>
              </w:rPr>
            </w:pPr>
            <w:r>
              <w:rPr>
                <w:rFonts w:hint="eastAsia" w:ascii="宋体" w:hAnsi="宋体" w:eastAsia="宋体" w:cs="宋体"/>
                <w:color w:val="000000"/>
                <w:kern w:val="0"/>
                <w:sz w:val="22"/>
                <w:szCs w:val="22"/>
                <w:lang w:bidi="ar"/>
              </w:rPr>
              <w:t>包装标志</w:t>
            </w:r>
          </w:p>
        </w:tc>
        <w:tc>
          <w:tcPr>
            <w:tcW w:w="3495" w:type="dxa"/>
            <w:vAlign w:val="bottom"/>
          </w:tcPr>
          <w:p>
            <w:pPr>
              <w:widowControl/>
              <w:spacing w:line="360" w:lineRule="auto"/>
              <w:jc w:val="center"/>
              <w:textAlignment w:val="bottom"/>
              <w:rPr>
                <w:rFonts w:ascii="宋体" w:hAnsi="宋体" w:eastAsia="宋体" w:cs="宋体"/>
                <w:sz w:val="22"/>
                <w:szCs w:val="22"/>
              </w:rPr>
            </w:pPr>
            <w:r>
              <w:rPr>
                <w:rFonts w:hint="eastAsia" w:ascii="宋体" w:hAnsi="宋体" w:eastAsia="宋体" w:cs="宋体"/>
                <w:color w:val="000000"/>
                <w:kern w:val="0"/>
                <w:sz w:val="22"/>
                <w:szCs w:val="22"/>
                <w:lang w:bidi="ar"/>
              </w:rPr>
              <w:t>GB/T 21661-2020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85" w:type="dxa"/>
            <w:gridSpan w:val="3"/>
          </w:tcPr>
          <w:p>
            <w:pPr>
              <w:spacing w:before="70" w:line="360" w:lineRule="auto"/>
              <w:ind w:left="11"/>
              <w:rPr>
                <w:rFonts w:ascii="宋体" w:hAnsi="宋体" w:eastAsia="宋体" w:cs="宋体"/>
                <w:sz w:val="22"/>
                <w:szCs w:val="22"/>
              </w:rPr>
            </w:pPr>
            <w:r>
              <w:rPr>
                <w:rFonts w:hint="eastAsia" w:ascii="宋体" w:hAnsi="宋体" w:eastAsia="宋体" w:cs="宋体"/>
                <w:spacing w:val="-1"/>
                <w:sz w:val="22"/>
                <w:szCs w:val="22"/>
              </w:rPr>
              <w:t>注：</w:t>
            </w:r>
          </w:p>
          <w:p>
            <w:pPr>
              <w:spacing w:before="99" w:line="360" w:lineRule="auto"/>
              <w:ind w:left="368"/>
              <w:rPr>
                <w:rFonts w:ascii="宋体" w:hAnsi="宋体" w:eastAsia="宋体" w:cs="宋体"/>
                <w:sz w:val="22"/>
                <w:szCs w:val="22"/>
              </w:rPr>
            </w:pPr>
            <w:r>
              <w:rPr>
                <w:rFonts w:hint="eastAsia" w:ascii="宋体" w:hAnsi="宋体" w:eastAsia="宋体" w:cs="宋体"/>
                <w:spacing w:val="1"/>
                <w:sz w:val="22"/>
                <w:szCs w:val="22"/>
              </w:rPr>
              <w:t>a 透光率和雾度仅适用于</w:t>
            </w:r>
            <w:r>
              <w:rPr>
                <w:rFonts w:hint="eastAsia" w:ascii="宋体" w:hAnsi="宋体" w:eastAsia="宋体" w:cs="宋体"/>
                <w:sz w:val="22"/>
                <w:szCs w:val="22"/>
              </w:rPr>
              <w:t xml:space="preserve"> B、C 类。</w:t>
            </w:r>
          </w:p>
        </w:tc>
      </w:tr>
    </w:tbl>
    <w:p>
      <w:pPr>
        <w:widowControl/>
        <w:spacing w:line="360" w:lineRule="auto"/>
        <w:jc w:val="left"/>
        <w:rPr>
          <w:rFonts w:ascii="黑体" w:hAnsi="宋体" w:eastAsia="黑体" w:cs="黑体"/>
          <w:color w:val="000000"/>
          <w:kern w:val="0"/>
          <w:sz w:val="20"/>
          <w:szCs w:val="20"/>
          <w:lang w:bidi="ar"/>
        </w:rPr>
      </w:pPr>
    </w:p>
    <w:p>
      <w:pPr>
        <w:widowControl/>
        <w:spacing w:line="360" w:lineRule="auto"/>
        <w:jc w:val="left"/>
      </w:pPr>
      <w:r>
        <w:rPr>
          <w:rFonts w:hint="eastAsia" w:ascii="宋体" w:hAnsi="宋体" w:eastAsia="宋体" w:cs="宋体"/>
          <w:color w:val="000000"/>
          <w:kern w:val="0"/>
          <w:sz w:val="18"/>
          <w:szCs w:val="18"/>
          <w:lang w:bidi="ar"/>
        </w:rPr>
        <w:t xml:space="preserve">注：a 项目执行 GB/T 21661-2008 检验项目为厚度，执行 GB/T 21661-2020 检验项目为环保要求（最小 </w:t>
      </w:r>
    </w:p>
    <w:p>
      <w:pPr>
        <w:widowControl/>
        <w:spacing w:line="360" w:lineRule="auto"/>
        <w:jc w:val="left"/>
      </w:pPr>
      <w:r>
        <w:rPr>
          <w:rFonts w:hint="eastAsia" w:ascii="宋体" w:hAnsi="宋体" w:eastAsia="宋体" w:cs="宋体"/>
          <w:color w:val="000000"/>
          <w:kern w:val="0"/>
          <w:sz w:val="18"/>
          <w:szCs w:val="18"/>
          <w:lang w:bidi="ar"/>
        </w:rPr>
        <w:t xml:space="preserve">厚度）。 </w:t>
      </w:r>
    </w:p>
    <w:p>
      <w:pPr>
        <w:widowControl/>
        <w:spacing w:line="360" w:lineRule="auto"/>
        <w:jc w:val="left"/>
      </w:pPr>
      <w:r>
        <w:rPr>
          <w:rFonts w:hint="eastAsia" w:ascii="宋体" w:hAnsi="宋体" w:eastAsia="宋体" w:cs="宋体"/>
          <w:color w:val="000000"/>
          <w:kern w:val="0"/>
          <w:sz w:val="18"/>
          <w:szCs w:val="18"/>
          <w:lang w:bidi="ar"/>
        </w:rPr>
        <w:t xml:space="preserve">注：1.上表所列检验项目是有关法律法规、标准等规定的，重点涉及健康、安全、节能、环保以及消费者、 </w:t>
      </w:r>
    </w:p>
    <w:p>
      <w:pPr>
        <w:widowControl/>
        <w:spacing w:line="360" w:lineRule="auto"/>
        <w:jc w:val="left"/>
      </w:pPr>
      <w:r>
        <w:rPr>
          <w:rFonts w:hint="eastAsia" w:ascii="宋体" w:hAnsi="宋体" w:eastAsia="宋体" w:cs="宋体"/>
          <w:color w:val="000000"/>
          <w:kern w:val="0"/>
          <w:sz w:val="18"/>
          <w:szCs w:val="18"/>
          <w:lang w:bidi="ar"/>
        </w:rPr>
        <w:t xml:space="preserve">有关组织反映有质量问题的重要项目。 </w:t>
      </w:r>
    </w:p>
    <w:p>
      <w:pPr>
        <w:widowControl/>
        <w:spacing w:line="360" w:lineRule="auto"/>
        <w:jc w:val="left"/>
      </w:pPr>
      <w:r>
        <w:rPr>
          <w:rFonts w:hint="eastAsia" w:ascii="宋体" w:hAnsi="宋体" w:eastAsia="宋体" w:cs="宋体"/>
          <w:color w:val="000000"/>
          <w:kern w:val="0"/>
          <w:sz w:val="18"/>
          <w:szCs w:val="18"/>
          <w:lang w:bidi="ar"/>
        </w:rPr>
        <w:t xml:space="preserve">2.检验方法包括相关产品标准及试验方法标准。 </w:t>
      </w:r>
    </w:p>
    <w:p>
      <w:pPr>
        <w:widowControl/>
        <w:spacing w:line="360" w:lineRule="auto"/>
        <w:jc w:val="left"/>
      </w:pPr>
      <w:r>
        <w:rPr>
          <w:rFonts w:hint="eastAsia" w:ascii="宋体" w:hAnsi="宋体" w:eastAsia="宋体" w:cs="宋体"/>
          <w:color w:val="000000"/>
          <w:kern w:val="0"/>
          <w:sz w:val="18"/>
          <w:szCs w:val="18"/>
          <w:lang w:bidi="ar"/>
        </w:rPr>
        <w:t xml:space="preserve">3.凡是注日期的文件，其随后所有的修改单（不包括勘误的内容）或修订版不适用于本细则。凡是不 </w:t>
      </w:r>
    </w:p>
    <w:p>
      <w:pPr>
        <w:widowControl/>
        <w:spacing w:line="360" w:lineRule="auto"/>
        <w:jc w:val="left"/>
      </w:pPr>
      <w:r>
        <w:rPr>
          <w:rFonts w:hint="eastAsia" w:ascii="宋体" w:hAnsi="宋体" w:eastAsia="宋体" w:cs="宋体"/>
          <w:color w:val="000000"/>
          <w:kern w:val="0"/>
          <w:sz w:val="18"/>
          <w:szCs w:val="18"/>
          <w:lang w:bidi="ar"/>
        </w:rPr>
        <w:t xml:space="preserve">注日期的文件，其最新版本适用于本细则。 </w:t>
      </w:r>
    </w:p>
    <w:p>
      <w:pPr>
        <w:widowControl/>
        <w:spacing w:line="360" w:lineRule="auto"/>
        <w:jc w:val="left"/>
      </w:pPr>
      <w:r>
        <w:rPr>
          <w:rFonts w:hint="eastAsia" w:ascii="宋体" w:hAnsi="宋体" w:eastAsia="宋体" w:cs="宋体"/>
          <w:color w:val="000000"/>
          <w:kern w:val="0"/>
          <w:sz w:val="18"/>
          <w:szCs w:val="18"/>
          <w:lang w:bidi="ar"/>
        </w:rPr>
        <w:t xml:space="preserve">4.执行企业标准、团体标准、地方标准的产品，检验项目参照上述内容执行。 </w:t>
      </w:r>
    </w:p>
    <w:p>
      <w:pPr>
        <w:widowControl/>
        <w:spacing w:line="360" w:lineRule="auto"/>
        <w:jc w:val="left"/>
        <w:rPr>
          <w:rFonts w:asciiTheme="minorEastAsia" w:hAnsiTheme="minorEastAsia"/>
          <w:b/>
        </w:rPr>
      </w:pPr>
      <w:r>
        <w:rPr>
          <w:rFonts w:hint="eastAsia" w:cs="黑体" w:asciiTheme="minorEastAsia" w:hAnsiTheme="minorEastAsia"/>
          <w:b/>
          <w:color w:val="000000"/>
          <w:kern w:val="0"/>
          <w:sz w:val="20"/>
          <w:szCs w:val="20"/>
          <w:lang w:bidi="ar"/>
        </w:rPr>
        <w:t xml:space="preserve">3 判定规则 </w:t>
      </w:r>
    </w:p>
    <w:p>
      <w:pPr>
        <w:widowControl/>
        <w:spacing w:line="360" w:lineRule="auto"/>
        <w:jc w:val="left"/>
        <w:rPr>
          <w:rFonts w:asciiTheme="minorEastAsia" w:hAnsiTheme="minorEastAsia"/>
          <w:b/>
        </w:rPr>
      </w:pPr>
      <w:r>
        <w:rPr>
          <w:rFonts w:hint="eastAsia" w:cs="黑体" w:asciiTheme="minorEastAsia" w:hAnsiTheme="minorEastAsia"/>
          <w:b/>
          <w:color w:val="000000"/>
          <w:kern w:val="0"/>
          <w:sz w:val="20"/>
          <w:szCs w:val="20"/>
          <w:lang w:bidi="ar"/>
        </w:rPr>
        <w:t xml:space="preserve">3.1 依据标准 </w:t>
      </w:r>
    </w:p>
    <w:p>
      <w:pPr>
        <w:widowControl/>
        <w:spacing w:line="360" w:lineRule="auto"/>
        <w:jc w:val="left"/>
      </w:pPr>
      <w:r>
        <w:rPr>
          <w:rFonts w:hint="eastAsia" w:ascii="宋体" w:hAnsi="宋体" w:eastAsia="宋体" w:cs="宋体"/>
          <w:color w:val="000000"/>
          <w:kern w:val="0"/>
          <w:sz w:val="20"/>
          <w:szCs w:val="20"/>
          <w:lang w:bidi="ar"/>
        </w:rPr>
        <w:t xml:space="preserve">GB/T 21661-2008 塑料购物袋 </w:t>
      </w:r>
    </w:p>
    <w:p>
      <w:pPr>
        <w:widowControl/>
        <w:spacing w:line="360" w:lineRule="auto"/>
        <w:jc w:val="left"/>
      </w:pPr>
      <w:r>
        <w:rPr>
          <w:rFonts w:hint="eastAsia" w:ascii="宋体" w:hAnsi="宋体" w:eastAsia="宋体" w:cs="宋体"/>
          <w:color w:val="000000"/>
          <w:kern w:val="0"/>
          <w:sz w:val="20"/>
          <w:szCs w:val="20"/>
          <w:lang w:bidi="ar"/>
        </w:rPr>
        <w:t xml:space="preserve">GB/T 21661-2020 塑料购物袋 </w:t>
      </w:r>
    </w:p>
    <w:p>
      <w:pPr>
        <w:widowControl/>
        <w:spacing w:line="360" w:lineRule="auto"/>
        <w:jc w:val="left"/>
      </w:pPr>
      <w:r>
        <w:rPr>
          <w:rFonts w:hint="eastAsia" w:ascii="宋体" w:hAnsi="宋体" w:eastAsia="宋体" w:cs="宋体"/>
          <w:color w:val="000000"/>
          <w:kern w:val="0"/>
          <w:sz w:val="20"/>
          <w:szCs w:val="20"/>
          <w:lang w:bidi="ar"/>
        </w:rPr>
        <w:t xml:space="preserve">发改环资【2020】1146 号文《关于扎实推进塑料污染治理工作的通知》 </w:t>
      </w:r>
    </w:p>
    <w:p>
      <w:pPr>
        <w:widowControl/>
        <w:spacing w:line="360" w:lineRule="auto"/>
        <w:jc w:val="left"/>
      </w:pPr>
      <w:r>
        <w:rPr>
          <w:rFonts w:hint="eastAsia" w:ascii="宋体" w:hAnsi="宋体" w:eastAsia="宋体" w:cs="宋体"/>
          <w:color w:val="000000"/>
          <w:kern w:val="0"/>
          <w:sz w:val="20"/>
          <w:szCs w:val="20"/>
          <w:lang w:bidi="ar"/>
        </w:rPr>
        <w:t xml:space="preserve">《相关塑料制品禁限管理细化标准（2020 年版）》 </w:t>
      </w:r>
    </w:p>
    <w:p>
      <w:pPr>
        <w:widowControl/>
        <w:spacing w:line="360" w:lineRule="auto"/>
        <w:jc w:val="left"/>
      </w:pPr>
      <w:r>
        <w:rPr>
          <w:rFonts w:hint="eastAsia" w:ascii="宋体" w:hAnsi="宋体" w:eastAsia="宋体" w:cs="宋体"/>
          <w:color w:val="000000"/>
          <w:kern w:val="0"/>
          <w:sz w:val="20"/>
          <w:szCs w:val="20"/>
          <w:lang w:bidi="ar"/>
        </w:rPr>
        <w:t xml:space="preserve">现行有效的企业标准、团体标准、地方标准及产品明示质量要求。 </w:t>
      </w:r>
    </w:p>
    <w:p>
      <w:pPr>
        <w:widowControl/>
        <w:spacing w:line="360" w:lineRule="auto"/>
        <w:jc w:val="left"/>
        <w:rPr>
          <w:rFonts w:cs="黑体" w:asciiTheme="minorEastAsia" w:hAnsiTheme="minorEastAsia"/>
          <w:b/>
          <w:color w:val="000000"/>
          <w:kern w:val="0"/>
          <w:sz w:val="20"/>
          <w:szCs w:val="20"/>
          <w:lang w:bidi="ar"/>
        </w:rPr>
      </w:pPr>
      <w:r>
        <w:rPr>
          <w:rFonts w:hint="eastAsia" w:cs="黑体" w:asciiTheme="minorEastAsia" w:hAnsiTheme="minorEastAsia"/>
          <w:b/>
          <w:color w:val="000000"/>
          <w:kern w:val="0"/>
          <w:sz w:val="20"/>
          <w:szCs w:val="20"/>
          <w:lang w:bidi="ar"/>
        </w:rPr>
        <w:t>3.2 判定原则</w:t>
      </w:r>
    </w:p>
    <w:p>
      <w:pPr>
        <w:widowControl/>
        <w:spacing w:line="360" w:lineRule="auto"/>
        <w:jc w:val="left"/>
      </w:pPr>
      <w:r>
        <w:rPr>
          <w:rFonts w:hint="eastAsia" w:ascii="宋体" w:hAnsi="宋体" w:eastAsia="宋体" w:cs="宋体"/>
          <w:color w:val="000000"/>
          <w:kern w:val="0"/>
          <w:sz w:val="20"/>
          <w:szCs w:val="20"/>
          <w:lang w:bidi="ar"/>
        </w:rPr>
        <w:t xml:space="preserve">经检验，检验项目全部合格，判定为被抽查产品所检项目未发现不合格；检验项目中任一项或一项以上不合格，判定为被抽查产品不合格。 </w:t>
      </w:r>
    </w:p>
    <w:p>
      <w:pPr>
        <w:widowControl/>
        <w:spacing w:line="360" w:lineRule="auto"/>
        <w:jc w:val="left"/>
      </w:pPr>
      <w:r>
        <w:rPr>
          <w:rFonts w:hint="eastAsia" w:ascii="宋体" w:hAnsi="宋体" w:eastAsia="宋体" w:cs="宋体"/>
          <w:color w:val="000000"/>
          <w:kern w:val="0"/>
          <w:sz w:val="20"/>
          <w:szCs w:val="20"/>
          <w:lang w:bidi="ar"/>
        </w:rPr>
        <w:t xml:space="preserve">若被检产品明示的质量要求高于本细则中检验项目依据的标准要求时，应按被检产品明 </w:t>
      </w:r>
    </w:p>
    <w:p>
      <w:pPr>
        <w:widowControl/>
        <w:spacing w:line="360" w:lineRule="auto"/>
        <w:jc w:val="left"/>
      </w:pPr>
      <w:r>
        <w:rPr>
          <w:rFonts w:hint="eastAsia" w:ascii="宋体" w:hAnsi="宋体" w:eastAsia="宋体" w:cs="宋体"/>
          <w:color w:val="000000"/>
          <w:kern w:val="0"/>
          <w:sz w:val="20"/>
          <w:szCs w:val="20"/>
          <w:lang w:bidi="ar"/>
        </w:rPr>
        <w:t xml:space="preserve">示的质量要求判定。 </w:t>
      </w:r>
    </w:p>
    <w:p>
      <w:pPr>
        <w:widowControl/>
        <w:spacing w:line="360" w:lineRule="auto"/>
        <w:jc w:val="left"/>
      </w:pPr>
      <w:r>
        <w:rPr>
          <w:rFonts w:hint="eastAsia" w:ascii="宋体" w:hAnsi="宋体" w:eastAsia="宋体" w:cs="宋体"/>
          <w:color w:val="000000"/>
          <w:kern w:val="0"/>
          <w:sz w:val="20"/>
          <w:szCs w:val="20"/>
          <w:lang w:bidi="ar"/>
        </w:rPr>
        <w:t xml:space="preserve">若被检产品明示的质量要求低于本细则中检验项目依据的强制性标准要求时，应按照强 </w:t>
      </w:r>
    </w:p>
    <w:p>
      <w:pPr>
        <w:widowControl/>
        <w:spacing w:line="360" w:lineRule="auto"/>
        <w:jc w:val="left"/>
      </w:pPr>
      <w:r>
        <w:rPr>
          <w:rFonts w:hint="eastAsia" w:ascii="宋体" w:hAnsi="宋体" w:eastAsia="宋体" w:cs="宋体"/>
          <w:color w:val="000000"/>
          <w:kern w:val="0"/>
          <w:sz w:val="20"/>
          <w:szCs w:val="20"/>
          <w:lang w:bidi="ar"/>
        </w:rPr>
        <w:t xml:space="preserve">制性标准要求判定。 </w:t>
      </w:r>
    </w:p>
    <w:p>
      <w:pPr>
        <w:widowControl/>
        <w:spacing w:line="360" w:lineRule="auto"/>
        <w:jc w:val="left"/>
      </w:pPr>
      <w:r>
        <w:rPr>
          <w:rFonts w:hint="eastAsia" w:ascii="宋体" w:hAnsi="宋体" w:eastAsia="宋体" w:cs="宋体"/>
          <w:color w:val="000000"/>
          <w:kern w:val="0"/>
          <w:sz w:val="20"/>
          <w:szCs w:val="20"/>
          <w:lang w:bidi="ar"/>
        </w:rPr>
        <w:t xml:space="preserve">若被检产品明示的质量要求低于或包含本细则中检验项目依据的推荐性标准要求时，应 </w:t>
      </w:r>
    </w:p>
    <w:p>
      <w:pPr>
        <w:widowControl/>
        <w:spacing w:line="360" w:lineRule="auto"/>
        <w:jc w:val="left"/>
      </w:pPr>
      <w:r>
        <w:rPr>
          <w:rFonts w:hint="eastAsia" w:ascii="宋体" w:hAnsi="宋体" w:eastAsia="宋体" w:cs="宋体"/>
          <w:color w:val="000000"/>
          <w:kern w:val="0"/>
          <w:sz w:val="20"/>
          <w:szCs w:val="20"/>
          <w:lang w:bidi="ar"/>
        </w:rPr>
        <w:t xml:space="preserve">以被检产品明示的质量要求判定（最小厚度及厚度项目除外），但应在检验报告备注中进行 </w:t>
      </w:r>
    </w:p>
    <w:p>
      <w:pPr>
        <w:widowControl/>
        <w:spacing w:line="360" w:lineRule="auto"/>
        <w:jc w:val="left"/>
      </w:pPr>
      <w:r>
        <w:rPr>
          <w:rFonts w:hint="eastAsia" w:ascii="宋体" w:hAnsi="宋体" w:eastAsia="宋体" w:cs="宋体"/>
          <w:color w:val="000000"/>
          <w:kern w:val="0"/>
          <w:sz w:val="20"/>
          <w:szCs w:val="20"/>
          <w:lang w:bidi="ar"/>
        </w:rPr>
        <w:t>说明。</w:t>
      </w:r>
    </w:p>
    <w:p>
      <w:pPr>
        <w:widowControl/>
        <w:spacing w:line="360" w:lineRule="auto"/>
        <w:jc w:val="left"/>
      </w:pPr>
      <w:r>
        <w:rPr>
          <w:rFonts w:hint="eastAsia" w:ascii="宋体" w:hAnsi="宋体" w:eastAsia="宋体" w:cs="宋体"/>
          <w:color w:val="000000"/>
          <w:kern w:val="0"/>
          <w:sz w:val="20"/>
          <w:szCs w:val="20"/>
          <w:lang w:bidi="ar"/>
        </w:rPr>
        <w:t xml:space="preserve">若被检产品明示的质量要求缺少本细则中检验项目依据的强制性标准要求时，应按照强 </w:t>
      </w:r>
    </w:p>
    <w:p>
      <w:pPr>
        <w:widowControl/>
        <w:spacing w:line="360" w:lineRule="auto"/>
        <w:jc w:val="left"/>
      </w:pPr>
      <w:r>
        <w:rPr>
          <w:rFonts w:hint="eastAsia" w:ascii="宋体" w:hAnsi="宋体" w:eastAsia="宋体" w:cs="宋体"/>
          <w:color w:val="000000"/>
          <w:kern w:val="0"/>
          <w:sz w:val="20"/>
          <w:szCs w:val="20"/>
          <w:lang w:bidi="ar"/>
        </w:rPr>
        <w:t xml:space="preserve">制性标准要求判定。 </w:t>
      </w:r>
    </w:p>
    <w:p>
      <w:pPr>
        <w:widowControl/>
        <w:spacing w:line="360" w:lineRule="auto"/>
        <w:jc w:val="left"/>
      </w:pPr>
      <w:r>
        <w:rPr>
          <w:rFonts w:hint="eastAsia" w:ascii="宋体" w:hAnsi="宋体" w:eastAsia="宋体" w:cs="宋体"/>
          <w:color w:val="000000"/>
          <w:kern w:val="0"/>
          <w:sz w:val="20"/>
          <w:szCs w:val="20"/>
          <w:lang w:bidi="ar"/>
        </w:rPr>
        <w:t xml:space="preserve">若被检产品明示的质量要求缺少本细则中检验项目依据的推荐性标准要求时，该项目不 </w:t>
      </w:r>
    </w:p>
    <w:p>
      <w:pPr>
        <w:widowControl/>
        <w:spacing w:line="360" w:lineRule="auto"/>
        <w:jc w:val="left"/>
      </w:pPr>
      <w:r>
        <w:rPr>
          <w:rFonts w:hint="eastAsia" w:ascii="宋体" w:hAnsi="宋体" w:eastAsia="宋体" w:cs="宋体"/>
          <w:color w:val="000000"/>
          <w:kern w:val="0"/>
          <w:sz w:val="20"/>
          <w:szCs w:val="20"/>
          <w:lang w:bidi="ar"/>
        </w:rPr>
        <w:t>参与判定，但应在检验报告备注中进行说明。</w:t>
      </w:r>
    </w:p>
    <w:p/>
    <w:p/>
    <w:p/>
    <w:p/>
    <w:p/>
    <w:p/>
    <w:p/>
    <w:p/>
    <w:p/>
    <w:p/>
    <w:p/>
    <w:p>
      <w:pPr>
        <w:widowControl/>
        <w:spacing w:line="360" w:lineRule="auto"/>
        <w:jc w:val="center"/>
        <w:rPr>
          <w:rFonts w:ascii="宋体" w:hAnsi="宋体" w:eastAsia="宋体" w:cs="宋体"/>
          <w:b/>
          <w:sz w:val="28"/>
          <w:szCs w:val="28"/>
        </w:rPr>
      </w:pPr>
      <w:r>
        <w:rPr>
          <w:rFonts w:hint="eastAsia" w:ascii="宋体" w:hAnsi="宋体" w:eastAsia="宋体" w:cs="宋体"/>
          <w:b/>
          <w:color w:val="000000"/>
          <w:kern w:val="0"/>
          <w:sz w:val="28"/>
          <w:szCs w:val="28"/>
          <w:lang w:bidi="ar"/>
        </w:rPr>
        <w:t>农用薄膜产品质量市级监督抽查实施细则</w:t>
      </w:r>
    </w:p>
    <w:p>
      <w:pPr>
        <w:spacing w:line="360" w:lineRule="auto"/>
        <w:rPr>
          <w:rFonts w:ascii="宋体" w:hAnsi="宋体" w:eastAsia="宋体" w:cs="宋体"/>
          <w:b/>
          <w:sz w:val="20"/>
          <w:szCs w:val="20"/>
        </w:rPr>
      </w:pPr>
      <w:r>
        <w:rPr>
          <w:rFonts w:hint="eastAsia" w:ascii="宋体" w:hAnsi="宋体" w:eastAsia="宋体" w:cs="宋体"/>
          <w:b/>
          <w:sz w:val="20"/>
          <w:szCs w:val="20"/>
        </w:rPr>
        <w:t xml:space="preserve">1 抽样方法 </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以随机抽样的方式在被抽样生产者、销售者的待销产品中抽取。</w:t>
      </w:r>
    </w:p>
    <w:p>
      <w:pPr>
        <w:spacing w:line="360" w:lineRule="auto"/>
        <w:rPr>
          <w:rFonts w:ascii="宋体" w:hAnsi="宋体" w:eastAsia="宋体" w:cs="宋体"/>
          <w:sz w:val="22"/>
          <w:szCs w:val="22"/>
        </w:rPr>
      </w:pPr>
      <w:r>
        <w:rPr>
          <w:rFonts w:hint="eastAsia" w:ascii="宋体" w:hAnsi="宋体" w:eastAsia="宋体" w:cs="宋体"/>
          <w:sz w:val="22"/>
          <w:szCs w:val="22"/>
        </w:rPr>
        <w:t xml:space="preserve">随机数一般可使用随机数表等方法产生。 </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每批次产品抽取样品 4 m2（或面积不少于 4m2）×3 份，其中 2 份作为检验样品，1 份作为备用样品。备用样品封存于受检单位。</w:t>
      </w:r>
    </w:p>
    <w:p>
      <w:pPr>
        <w:spacing w:line="360" w:lineRule="auto"/>
        <w:rPr>
          <w:rFonts w:ascii="宋体" w:hAnsi="宋体" w:eastAsia="宋体" w:cs="宋体"/>
          <w:b/>
          <w:sz w:val="20"/>
          <w:szCs w:val="20"/>
        </w:rPr>
      </w:pPr>
      <w:r>
        <w:rPr>
          <w:rFonts w:hint="eastAsia" w:ascii="宋体" w:hAnsi="宋体" w:eastAsia="宋体" w:cs="宋体"/>
          <w:b/>
          <w:sz w:val="20"/>
          <w:szCs w:val="20"/>
        </w:rPr>
        <w:t>2 检验依据</w:t>
      </w:r>
    </w:p>
    <w:p>
      <w:pPr>
        <w:spacing w:line="360" w:lineRule="auto"/>
        <w:jc w:val="center"/>
        <w:rPr>
          <w:rFonts w:ascii="宋体" w:hAnsi="宋体" w:eastAsia="宋体" w:cs="宋体"/>
          <w:b/>
          <w:sz w:val="22"/>
          <w:szCs w:val="22"/>
        </w:rPr>
      </w:pPr>
      <w:r>
        <w:rPr>
          <w:rFonts w:hint="eastAsia" w:ascii="宋体" w:hAnsi="宋体" w:eastAsia="宋体" w:cs="宋体"/>
          <w:b/>
          <w:sz w:val="22"/>
          <w:szCs w:val="22"/>
        </w:rPr>
        <w:t>表 1 农业用聚乙烯吹塑棚膜检验项目</w:t>
      </w:r>
    </w:p>
    <w:tbl>
      <w:tblPr>
        <w:tblStyle w:val="6"/>
        <w:tblW w:w="8285"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3312"/>
        <w:gridCol w:w="3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78" w:type="dxa"/>
          </w:tcPr>
          <w:p>
            <w:pPr>
              <w:spacing w:before="212" w:line="360" w:lineRule="auto"/>
              <w:ind w:left="535"/>
              <w:rPr>
                <w:rFonts w:ascii="宋体" w:hAnsi="宋体" w:eastAsia="宋体" w:cs="宋体"/>
                <w:sz w:val="22"/>
                <w:szCs w:val="22"/>
              </w:rPr>
            </w:pPr>
            <w:r>
              <w:rPr>
                <w:rFonts w:hint="eastAsia" w:ascii="宋体" w:hAnsi="宋体" w:eastAsia="宋体" w:cs="宋体"/>
                <w:spacing w:val="5"/>
                <w:sz w:val="22"/>
                <w:szCs w:val="22"/>
              </w:rPr>
              <w:t>序</w:t>
            </w:r>
            <w:r>
              <w:rPr>
                <w:rFonts w:hint="eastAsia" w:ascii="宋体" w:hAnsi="宋体" w:eastAsia="宋体" w:cs="宋体"/>
                <w:spacing w:val="4"/>
                <w:sz w:val="22"/>
                <w:szCs w:val="22"/>
              </w:rPr>
              <w:t>号</w:t>
            </w:r>
          </w:p>
        </w:tc>
        <w:tc>
          <w:tcPr>
            <w:tcW w:w="3312" w:type="dxa"/>
          </w:tcPr>
          <w:p>
            <w:pPr>
              <w:spacing w:before="211" w:line="360" w:lineRule="auto"/>
              <w:ind w:left="1239"/>
              <w:rPr>
                <w:rFonts w:ascii="宋体" w:hAnsi="宋体" w:eastAsia="宋体" w:cs="宋体"/>
                <w:sz w:val="22"/>
                <w:szCs w:val="22"/>
              </w:rPr>
            </w:pPr>
            <w:r>
              <w:rPr>
                <w:rFonts w:hint="eastAsia" w:ascii="宋体" w:hAnsi="宋体" w:eastAsia="宋体" w:cs="宋体"/>
                <w:spacing w:val="8"/>
                <w:sz w:val="22"/>
                <w:szCs w:val="22"/>
              </w:rPr>
              <w:t>检验项目</w:t>
            </w:r>
          </w:p>
        </w:tc>
        <w:tc>
          <w:tcPr>
            <w:tcW w:w="3495" w:type="dxa"/>
          </w:tcPr>
          <w:p>
            <w:pPr>
              <w:spacing w:before="212" w:line="360" w:lineRule="auto"/>
              <w:ind w:left="1330"/>
              <w:rPr>
                <w:rFonts w:ascii="宋体" w:hAnsi="宋体" w:eastAsia="宋体" w:cs="宋体"/>
                <w:sz w:val="22"/>
                <w:szCs w:val="22"/>
              </w:rPr>
            </w:pPr>
            <w:r>
              <w:rPr>
                <w:rFonts w:hint="eastAsia" w:ascii="宋体" w:hAnsi="宋体" w:eastAsia="宋体" w:cs="宋体"/>
                <w:spacing w:val="8"/>
                <w:sz w:val="22"/>
                <w:szCs w:val="2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tcPr>
          <w:p>
            <w:pPr>
              <w:spacing w:before="179" w:line="360" w:lineRule="auto"/>
              <w:ind w:left="707"/>
              <w:rPr>
                <w:rFonts w:ascii="宋体" w:hAnsi="宋体" w:eastAsia="宋体" w:cs="宋体"/>
                <w:sz w:val="22"/>
                <w:szCs w:val="22"/>
              </w:rPr>
            </w:pPr>
            <w:r>
              <w:rPr>
                <w:rFonts w:hint="eastAsia" w:ascii="宋体" w:hAnsi="宋体" w:eastAsia="宋体" w:cs="宋体"/>
                <w:sz w:val="22"/>
                <w:szCs w:val="22"/>
              </w:rPr>
              <w:t>1</w:t>
            </w:r>
          </w:p>
        </w:tc>
        <w:tc>
          <w:tcPr>
            <w:tcW w:w="3312" w:type="dxa"/>
          </w:tcPr>
          <w:p>
            <w:pPr>
              <w:spacing w:before="147" w:line="360" w:lineRule="auto"/>
              <w:jc w:val="center"/>
              <w:rPr>
                <w:rFonts w:ascii="宋体" w:hAnsi="宋体" w:eastAsia="宋体" w:cs="宋体"/>
                <w:sz w:val="22"/>
                <w:szCs w:val="22"/>
              </w:rPr>
            </w:pPr>
            <w:r>
              <w:rPr>
                <w:rFonts w:hint="eastAsia" w:ascii="宋体" w:hAnsi="宋体" w:eastAsia="宋体" w:cs="宋体"/>
                <w:sz w:val="22"/>
                <w:szCs w:val="22"/>
              </w:rPr>
              <w:t>外观</w:t>
            </w:r>
          </w:p>
        </w:tc>
        <w:tc>
          <w:tcPr>
            <w:tcW w:w="3495" w:type="dxa"/>
            <w:vAlign w:val="bottom"/>
          </w:tcPr>
          <w:p>
            <w:pPr>
              <w:widowControl/>
              <w:spacing w:line="360" w:lineRule="auto"/>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GB/T 4455-2019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tcPr>
          <w:p>
            <w:pPr>
              <w:spacing w:before="181" w:line="360" w:lineRule="auto"/>
              <w:ind w:left="694"/>
              <w:rPr>
                <w:rFonts w:ascii="宋体" w:hAnsi="宋体" w:eastAsia="宋体" w:cs="宋体"/>
                <w:sz w:val="22"/>
                <w:szCs w:val="22"/>
              </w:rPr>
            </w:pPr>
            <w:r>
              <w:rPr>
                <w:rFonts w:hint="eastAsia" w:ascii="宋体" w:hAnsi="宋体" w:eastAsia="宋体" w:cs="宋体"/>
                <w:sz w:val="22"/>
                <w:szCs w:val="22"/>
              </w:rPr>
              <w:t>2</w:t>
            </w:r>
          </w:p>
        </w:tc>
        <w:tc>
          <w:tcPr>
            <w:tcW w:w="3312" w:type="dxa"/>
          </w:tcPr>
          <w:p>
            <w:pPr>
              <w:spacing w:before="147" w:line="360" w:lineRule="auto"/>
              <w:ind w:left="612"/>
              <w:rPr>
                <w:rFonts w:ascii="宋体" w:hAnsi="宋体" w:eastAsia="宋体" w:cs="宋体"/>
                <w:sz w:val="22"/>
                <w:szCs w:val="22"/>
              </w:rPr>
            </w:pPr>
            <w:r>
              <w:rPr>
                <w:rFonts w:hint="eastAsia" w:ascii="宋体" w:hAnsi="宋体" w:eastAsia="宋体" w:cs="宋体"/>
                <w:spacing w:val="9"/>
                <w:sz w:val="22"/>
                <w:szCs w:val="22"/>
              </w:rPr>
              <w:t>拉</w:t>
            </w:r>
            <w:r>
              <w:rPr>
                <w:rFonts w:hint="eastAsia" w:ascii="宋体" w:hAnsi="宋体" w:eastAsia="宋体" w:cs="宋体"/>
                <w:spacing w:val="7"/>
                <w:sz w:val="22"/>
                <w:szCs w:val="22"/>
              </w:rPr>
              <w:t>伸强度 (纵、横向)</w:t>
            </w:r>
          </w:p>
        </w:tc>
        <w:tc>
          <w:tcPr>
            <w:tcW w:w="3495" w:type="dxa"/>
          </w:tcPr>
          <w:p>
            <w:pPr>
              <w:spacing w:before="147" w:line="360" w:lineRule="auto"/>
              <w:ind w:left="464"/>
              <w:rPr>
                <w:rFonts w:ascii="宋体" w:hAnsi="宋体" w:eastAsia="宋体" w:cs="宋体"/>
                <w:sz w:val="22"/>
                <w:szCs w:val="22"/>
              </w:rPr>
            </w:pPr>
            <w:r>
              <w:rPr>
                <w:rFonts w:hint="eastAsia" w:ascii="宋体" w:hAnsi="宋体" w:eastAsia="宋体" w:cs="宋体"/>
                <w:spacing w:val="-1"/>
                <w:sz w:val="22"/>
                <w:szCs w:val="22"/>
              </w:rPr>
              <w:t>GB</w:t>
            </w:r>
            <w:r>
              <w:rPr>
                <w:rFonts w:hint="eastAsia" w:ascii="宋体" w:hAnsi="宋体" w:eastAsia="宋体" w:cs="宋体"/>
                <w:spacing w:val="-2"/>
                <w:sz w:val="22"/>
                <w:szCs w:val="22"/>
              </w:rPr>
              <w:t>/</w:t>
            </w:r>
            <w:r>
              <w:rPr>
                <w:rFonts w:hint="eastAsia" w:ascii="宋体" w:hAnsi="宋体" w:eastAsia="宋体" w:cs="宋体"/>
                <w:spacing w:val="-1"/>
                <w:sz w:val="22"/>
                <w:szCs w:val="22"/>
              </w:rPr>
              <w:t>T</w:t>
            </w:r>
            <w:r>
              <w:rPr>
                <w:rFonts w:hint="eastAsia" w:ascii="宋体" w:hAnsi="宋体" w:eastAsia="宋体" w:cs="宋体"/>
                <w:spacing w:val="-2"/>
                <w:sz w:val="22"/>
                <w:szCs w:val="22"/>
              </w:rPr>
              <w:t xml:space="preserve"> 4455-2019 </w:t>
            </w:r>
            <w:r>
              <w:rPr>
                <w:rFonts w:hint="eastAsia" w:ascii="宋体" w:hAnsi="宋体" w:eastAsia="宋体" w:cs="宋体"/>
                <w:spacing w:val="-1"/>
                <w:sz w:val="22"/>
                <w:szCs w:val="22"/>
              </w:rPr>
              <w:t>中第 7.6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tcPr>
          <w:p>
            <w:pPr>
              <w:spacing w:before="181" w:line="360" w:lineRule="auto"/>
              <w:ind w:left="695"/>
              <w:rPr>
                <w:rFonts w:ascii="宋体" w:hAnsi="宋体" w:eastAsia="宋体" w:cs="宋体"/>
                <w:sz w:val="22"/>
                <w:szCs w:val="22"/>
              </w:rPr>
            </w:pPr>
            <w:r>
              <w:rPr>
                <w:rFonts w:hint="eastAsia" w:ascii="宋体" w:hAnsi="宋体" w:eastAsia="宋体" w:cs="宋体"/>
                <w:sz w:val="22"/>
                <w:szCs w:val="22"/>
              </w:rPr>
              <w:t>3</w:t>
            </w:r>
          </w:p>
        </w:tc>
        <w:tc>
          <w:tcPr>
            <w:tcW w:w="3312" w:type="dxa"/>
          </w:tcPr>
          <w:p>
            <w:pPr>
              <w:spacing w:before="149" w:line="360" w:lineRule="auto"/>
              <w:ind w:left="409"/>
              <w:rPr>
                <w:rFonts w:ascii="宋体" w:hAnsi="宋体" w:eastAsia="宋体" w:cs="宋体"/>
                <w:sz w:val="22"/>
                <w:szCs w:val="22"/>
              </w:rPr>
            </w:pPr>
            <w:r>
              <w:rPr>
                <w:rFonts w:hint="eastAsia" w:ascii="宋体" w:hAnsi="宋体" w:eastAsia="宋体" w:cs="宋体"/>
                <w:spacing w:val="8"/>
                <w:sz w:val="22"/>
                <w:szCs w:val="22"/>
              </w:rPr>
              <w:t>断</w:t>
            </w:r>
            <w:r>
              <w:rPr>
                <w:rFonts w:hint="eastAsia" w:ascii="宋体" w:hAnsi="宋体" w:eastAsia="宋体" w:cs="宋体"/>
                <w:spacing w:val="7"/>
                <w:sz w:val="22"/>
                <w:szCs w:val="22"/>
              </w:rPr>
              <w:t>裂标称应变 (纵、横向)</w:t>
            </w:r>
          </w:p>
        </w:tc>
        <w:tc>
          <w:tcPr>
            <w:tcW w:w="3495" w:type="dxa"/>
          </w:tcPr>
          <w:p>
            <w:pPr>
              <w:spacing w:before="149" w:line="360" w:lineRule="auto"/>
              <w:ind w:left="464"/>
              <w:rPr>
                <w:rFonts w:ascii="宋体" w:hAnsi="宋体" w:eastAsia="宋体" w:cs="宋体"/>
                <w:sz w:val="22"/>
                <w:szCs w:val="22"/>
              </w:rPr>
            </w:pPr>
            <w:r>
              <w:rPr>
                <w:rFonts w:hint="eastAsia" w:ascii="宋体" w:hAnsi="宋体" w:eastAsia="宋体" w:cs="宋体"/>
                <w:spacing w:val="-1"/>
                <w:sz w:val="22"/>
                <w:szCs w:val="22"/>
              </w:rPr>
              <w:t>GB</w:t>
            </w:r>
            <w:r>
              <w:rPr>
                <w:rFonts w:hint="eastAsia" w:ascii="宋体" w:hAnsi="宋体" w:eastAsia="宋体" w:cs="宋体"/>
                <w:spacing w:val="-2"/>
                <w:sz w:val="22"/>
                <w:szCs w:val="22"/>
              </w:rPr>
              <w:t>/</w:t>
            </w:r>
            <w:r>
              <w:rPr>
                <w:rFonts w:hint="eastAsia" w:ascii="宋体" w:hAnsi="宋体" w:eastAsia="宋体" w:cs="宋体"/>
                <w:spacing w:val="-1"/>
                <w:sz w:val="22"/>
                <w:szCs w:val="22"/>
              </w:rPr>
              <w:t>T</w:t>
            </w:r>
            <w:r>
              <w:rPr>
                <w:rFonts w:hint="eastAsia" w:ascii="宋体" w:hAnsi="宋体" w:eastAsia="宋体" w:cs="宋体"/>
                <w:spacing w:val="-2"/>
                <w:sz w:val="22"/>
                <w:szCs w:val="22"/>
              </w:rPr>
              <w:t xml:space="preserve"> 4455-2019 </w:t>
            </w:r>
            <w:r>
              <w:rPr>
                <w:rFonts w:hint="eastAsia" w:ascii="宋体" w:hAnsi="宋体" w:eastAsia="宋体" w:cs="宋体"/>
                <w:spacing w:val="-1"/>
                <w:sz w:val="22"/>
                <w:szCs w:val="22"/>
              </w:rPr>
              <w:t>中第 7.6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tcPr>
          <w:p>
            <w:pPr>
              <w:spacing w:before="180" w:line="360" w:lineRule="auto"/>
              <w:ind w:left="690"/>
              <w:rPr>
                <w:rFonts w:ascii="宋体" w:hAnsi="宋体" w:eastAsia="宋体" w:cs="宋体"/>
                <w:sz w:val="22"/>
                <w:szCs w:val="22"/>
              </w:rPr>
            </w:pPr>
            <w:r>
              <w:rPr>
                <w:rFonts w:hint="eastAsia" w:ascii="宋体" w:hAnsi="宋体" w:eastAsia="宋体" w:cs="宋体"/>
                <w:sz w:val="22"/>
                <w:szCs w:val="22"/>
              </w:rPr>
              <w:t>4</w:t>
            </w:r>
          </w:p>
        </w:tc>
        <w:tc>
          <w:tcPr>
            <w:tcW w:w="3312" w:type="dxa"/>
            <w:shd w:val="clear" w:color="auto" w:fill="auto"/>
          </w:tcPr>
          <w:p>
            <w:pPr>
              <w:spacing w:before="147" w:line="360" w:lineRule="auto"/>
              <w:ind w:left="403"/>
              <w:rPr>
                <w:rFonts w:ascii="宋体" w:hAnsi="宋体" w:eastAsia="宋体" w:cs="宋体"/>
                <w:sz w:val="22"/>
                <w:szCs w:val="22"/>
              </w:rPr>
            </w:pPr>
            <w:r>
              <w:rPr>
                <w:rFonts w:hint="eastAsia" w:ascii="宋体" w:hAnsi="宋体" w:eastAsia="宋体" w:cs="宋体"/>
                <w:spacing w:val="14"/>
                <w:sz w:val="22"/>
                <w:szCs w:val="22"/>
              </w:rPr>
              <w:t>直</w:t>
            </w:r>
            <w:r>
              <w:rPr>
                <w:rFonts w:hint="eastAsia" w:ascii="宋体" w:hAnsi="宋体" w:eastAsia="宋体" w:cs="宋体"/>
                <w:spacing w:val="8"/>
                <w:sz w:val="22"/>
                <w:szCs w:val="22"/>
              </w:rPr>
              <w:t>角</w:t>
            </w:r>
            <w:r>
              <w:rPr>
                <w:rFonts w:hint="eastAsia" w:ascii="宋体" w:hAnsi="宋体" w:eastAsia="宋体" w:cs="宋体"/>
                <w:spacing w:val="7"/>
                <w:sz w:val="22"/>
                <w:szCs w:val="22"/>
              </w:rPr>
              <w:t>撕裂强度 (纵、横向)</w:t>
            </w:r>
          </w:p>
        </w:tc>
        <w:tc>
          <w:tcPr>
            <w:tcW w:w="3495" w:type="dxa"/>
            <w:shd w:val="clear" w:color="auto" w:fill="auto"/>
          </w:tcPr>
          <w:p>
            <w:pPr>
              <w:spacing w:before="148" w:line="360" w:lineRule="auto"/>
              <w:ind w:left="1014"/>
              <w:rPr>
                <w:rFonts w:ascii="宋体" w:hAnsi="宋体" w:eastAsia="宋体" w:cs="宋体"/>
                <w:sz w:val="22"/>
                <w:szCs w:val="22"/>
              </w:rPr>
            </w:pPr>
            <w:r>
              <w:rPr>
                <w:rFonts w:hint="eastAsia" w:ascii="宋体" w:hAnsi="宋体" w:eastAsia="宋体" w:cs="宋体"/>
                <w:sz w:val="22"/>
                <w:szCs w:val="22"/>
              </w:rPr>
              <w:t>QB</w:t>
            </w:r>
            <w:r>
              <w:rPr>
                <w:rFonts w:hint="eastAsia" w:ascii="宋体" w:hAnsi="宋体" w:eastAsia="宋体" w:cs="宋体"/>
                <w:spacing w:val="10"/>
                <w:sz w:val="22"/>
                <w:szCs w:val="22"/>
              </w:rPr>
              <w:t>/</w:t>
            </w:r>
            <w:r>
              <w:rPr>
                <w:rFonts w:hint="eastAsia" w:ascii="宋体" w:hAnsi="宋体" w:eastAsia="宋体" w:cs="宋体"/>
                <w:sz w:val="22"/>
                <w:szCs w:val="22"/>
              </w:rPr>
              <w:t>T</w:t>
            </w:r>
            <w:r>
              <w:rPr>
                <w:rFonts w:hint="eastAsia" w:ascii="宋体" w:hAnsi="宋体" w:eastAsia="宋体" w:cs="宋体"/>
                <w:spacing w:val="6"/>
                <w:sz w:val="22"/>
                <w:szCs w:val="22"/>
              </w:rPr>
              <w:t xml:space="preserve"> </w:t>
            </w:r>
            <w:r>
              <w:rPr>
                <w:rFonts w:hint="eastAsia" w:ascii="宋体" w:hAnsi="宋体" w:eastAsia="宋体" w:cs="宋体"/>
                <w:spacing w:val="5"/>
                <w:sz w:val="22"/>
                <w:szCs w:val="22"/>
              </w:rPr>
              <w:t>1130-1991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tcPr>
          <w:p>
            <w:pPr>
              <w:spacing w:before="183" w:line="360" w:lineRule="auto"/>
              <w:ind w:left="695"/>
              <w:rPr>
                <w:rFonts w:ascii="宋体" w:hAnsi="宋体" w:eastAsia="宋体" w:cs="宋体"/>
                <w:sz w:val="22"/>
                <w:szCs w:val="22"/>
              </w:rPr>
            </w:pPr>
            <w:r>
              <w:rPr>
                <w:rFonts w:hint="eastAsia" w:ascii="宋体" w:hAnsi="宋体" w:eastAsia="宋体" w:cs="宋体"/>
                <w:sz w:val="22"/>
                <w:szCs w:val="22"/>
              </w:rPr>
              <w:t>5</w:t>
            </w:r>
          </w:p>
        </w:tc>
        <w:tc>
          <w:tcPr>
            <w:tcW w:w="3312" w:type="dxa"/>
          </w:tcPr>
          <w:p>
            <w:pPr>
              <w:spacing w:before="132" w:line="360" w:lineRule="auto"/>
              <w:ind w:left="976"/>
              <w:rPr>
                <w:rFonts w:ascii="宋体" w:hAnsi="宋体" w:eastAsia="宋体" w:cs="宋体"/>
                <w:sz w:val="22"/>
                <w:szCs w:val="22"/>
              </w:rPr>
            </w:pPr>
            <w:r>
              <w:rPr>
                <w:rFonts w:hint="eastAsia" w:ascii="宋体" w:hAnsi="宋体" w:eastAsia="宋体" w:cs="宋体"/>
                <w:spacing w:val="2"/>
                <w:sz w:val="22"/>
                <w:szCs w:val="22"/>
              </w:rPr>
              <w:t>透</w:t>
            </w:r>
            <w:r>
              <w:rPr>
                <w:rFonts w:hint="eastAsia" w:ascii="宋体" w:hAnsi="宋体" w:eastAsia="宋体" w:cs="宋体"/>
                <w:spacing w:val="1"/>
                <w:sz w:val="22"/>
                <w:szCs w:val="22"/>
              </w:rPr>
              <w:t>光率和雾度 a</w:t>
            </w:r>
          </w:p>
        </w:tc>
        <w:tc>
          <w:tcPr>
            <w:tcW w:w="3495" w:type="dxa"/>
          </w:tcPr>
          <w:p>
            <w:pPr>
              <w:spacing w:before="149" w:line="360" w:lineRule="auto"/>
              <w:ind w:left="464"/>
              <w:rPr>
                <w:rFonts w:ascii="宋体" w:hAnsi="宋体" w:eastAsia="宋体" w:cs="宋体"/>
                <w:sz w:val="22"/>
                <w:szCs w:val="22"/>
              </w:rPr>
            </w:pPr>
            <w:r>
              <w:rPr>
                <w:rFonts w:hint="eastAsia" w:ascii="宋体" w:hAnsi="宋体" w:eastAsia="宋体" w:cs="宋体"/>
                <w:spacing w:val="-1"/>
                <w:sz w:val="22"/>
                <w:szCs w:val="22"/>
              </w:rPr>
              <w:t>GB</w:t>
            </w:r>
            <w:r>
              <w:rPr>
                <w:rFonts w:hint="eastAsia" w:ascii="宋体" w:hAnsi="宋体" w:eastAsia="宋体" w:cs="宋体"/>
                <w:spacing w:val="-2"/>
                <w:sz w:val="22"/>
                <w:szCs w:val="22"/>
              </w:rPr>
              <w:t>/</w:t>
            </w:r>
            <w:r>
              <w:rPr>
                <w:rFonts w:hint="eastAsia" w:ascii="宋体" w:hAnsi="宋体" w:eastAsia="宋体" w:cs="宋体"/>
                <w:spacing w:val="-1"/>
                <w:sz w:val="22"/>
                <w:szCs w:val="22"/>
              </w:rPr>
              <w:t>T</w:t>
            </w:r>
            <w:r>
              <w:rPr>
                <w:rFonts w:hint="eastAsia" w:ascii="宋体" w:hAnsi="宋体" w:eastAsia="宋体" w:cs="宋体"/>
                <w:spacing w:val="-2"/>
                <w:sz w:val="22"/>
                <w:szCs w:val="22"/>
              </w:rPr>
              <w:t xml:space="preserve"> 4455-2019 </w:t>
            </w:r>
            <w:r>
              <w:rPr>
                <w:rFonts w:hint="eastAsia" w:ascii="宋体" w:hAnsi="宋体" w:eastAsia="宋体" w:cs="宋体"/>
                <w:spacing w:val="-1"/>
                <w:sz w:val="22"/>
                <w:szCs w:val="22"/>
              </w:rPr>
              <w:t>中第 7.9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tcPr>
          <w:p>
            <w:pPr>
              <w:spacing w:before="182" w:line="360" w:lineRule="auto"/>
              <w:ind w:left="693"/>
              <w:rPr>
                <w:rFonts w:ascii="宋体" w:hAnsi="宋体" w:eastAsia="宋体" w:cs="宋体"/>
                <w:sz w:val="22"/>
                <w:szCs w:val="22"/>
              </w:rPr>
            </w:pPr>
            <w:r>
              <w:rPr>
                <w:rFonts w:hint="eastAsia" w:ascii="宋体" w:hAnsi="宋体" w:eastAsia="宋体" w:cs="宋体"/>
                <w:sz w:val="22"/>
                <w:szCs w:val="22"/>
              </w:rPr>
              <w:t>6</w:t>
            </w:r>
          </w:p>
        </w:tc>
        <w:tc>
          <w:tcPr>
            <w:tcW w:w="3312" w:type="dxa"/>
          </w:tcPr>
          <w:p>
            <w:pPr>
              <w:spacing w:before="149" w:line="360" w:lineRule="auto"/>
              <w:ind w:left="301"/>
              <w:rPr>
                <w:rFonts w:ascii="宋体" w:hAnsi="宋体" w:eastAsia="宋体" w:cs="宋体"/>
                <w:sz w:val="22"/>
                <w:szCs w:val="22"/>
              </w:rPr>
            </w:pPr>
            <w:r>
              <w:rPr>
                <w:rFonts w:hint="eastAsia" w:ascii="宋体" w:hAnsi="宋体" w:eastAsia="宋体" w:cs="宋体"/>
                <w:spacing w:val="9"/>
                <w:sz w:val="22"/>
                <w:szCs w:val="22"/>
              </w:rPr>
              <w:t>厚度极限偏差及厚度平均偏</w:t>
            </w:r>
            <w:r>
              <w:rPr>
                <w:rFonts w:hint="eastAsia" w:ascii="宋体" w:hAnsi="宋体" w:eastAsia="宋体" w:cs="宋体"/>
                <w:spacing w:val="7"/>
                <w:sz w:val="22"/>
                <w:szCs w:val="22"/>
              </w:rPr>
              <w:t>差</w:t>
            </w:r>
          </w:p>
        </w:tc>
        <w:tc>
          <w:tcPr>
            <w:tcW w:w="3495" w:type="dxa"/>
          </w:tcPr>
          <w:p>
            <w:pPr>
              <w:spacing w:before="149" w:line="360" w:lineRule="auto"/>
              <w:ind w:left="464"/>
              <w:rPr>
                <w:rFonts w:ascii="宋体" w:hAnsi="宋体" w:eastAsia="宋体" w:cs="宋体"/>
                <w:sz w:val="22"/>
                <w:szCs w:val="22"/>
              </w:rPr>
            </w:pPr>
            <w:r>
              <w:rPr>
                <w:rFonts w:hint="eastAsia" w:ascii="宋体" w:hAnsi="宋体" w:eastAsia="宋体" w:cs="宋体"/>
                <w:spacing w:val="-1"/>
                <w:sz w:val="22"/>
                <w:szCs w:val="22"/>
              </w:rPr>
              <w:t>GB</w:t>
            </w:r>
            <w:r>
              <w:rPr>
                <w:rFonts w:hint="eastAsia" w:ascii="宋体" w:hAnsi="宋体" w:eastAsia="宋体" w:cs="宋体"/>
                <w:spacing w:val="-2"/>
                <w:sz w:val="22"/>
                <w:szCs w:val="22"/>
              </w:rPr>
              <w:t>/</w:t>
            </w:r>
            <w:r>
              <w:rPr>
                <w:rFonts w:hint="eastAsia" w:ascii="宋体" w:hAnsi="宋体" w:eastAsia="宋体" w:cs="宋体"/>
                <w:spacing w:val="-1"/>
                <w:sz w:val="22"/>
                <w:szCs w:val="22"/>
              </w:rPr>
              <w:t>T</w:t>
            </w:r>
            <w:r>
              <w:rPr>
                <w:rFonts w:hint="eastAsia" w:ascii="宋体" w:hAnsi="宋体" w:eastAsia="宋体" w:cs="宋体"/>
                <w:spacing w:val="-2"/>
                <w:sz w:val="22"/>
                <w:szCs w:val="22"/>
              </w:rPr>
              <w:t xml:space="preserve"> 4455-2019 </w:t>
            </w:r>
            <w:r>
              <w:rPr>
                <w:rFonts w:hint="eastAsia" w:ascii="宋体" w:hAnsi="宋体" w:eastAsia="宋体" w:cs="宋体"/>
                <w:spacing w:val="-1"/>
                <w:sz w:val="22"/>
                <w:szCs w:val="22"/>
              </w:rPr>
              <w:t>中第 7.4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285" w:type="dxa"/>
            <w:gridSpan w:val="3"/>
          </w:tcPr>
          <w:p>
            <w:pPr>
              <w:spacing w:before="70" w:line="360" w:lineRule="auto"/>
              <w:ind w:left="11"/>
              <w:rPr>
                <w:rFonts w:ascii="宋体" w:hAnsi="宋体" w:eastAsia="宋体" w:cs="宋体"/>
                <w:sz w:val="22"/>
                <w:szCs w:val="22"/>
              </w:rPr>
            </w:pPr>
            <w:r>
              <w:rPr>
                <w:rFonts w:hint="eastAsia" w:ascii="宋体" w:hAnsi="宋体" w:eastAsia="宋体" w:cs="宋体"/>
                <w:spacing w:val="-1"/>
                <w:sz w:val="22"/>
                <w:szCs w:val="22"/>
              </w:rPr>
              <w:t>注：</w:t>
            </w:r>
          </w:p>
          <w:p>
            <w:pPr>
              <w:spacing w:before="99" w:line="360" w:lineRule="auto"/>
              <w:ind w:left="368"/>
              <w:rPr>
                <w:rFonts w:ascii="宋体" w:hAnsi="宋体" w:eastAsia="宋体" w:cs="宋体"/>
                <w:sz w:val="22"/>
                <w:szCs w:val="22"/>
              </w:rPr>
            </w:pPr>
            <w:r>
              <w:rPr>
                <w:rFonts w:hint="eastAsia" w:ascii="宋体" w:hAnsi="宋体" w:eastAsia="宋体" w:cs="宋体"/>
                <w:spacing w:val="1"/>
                <w:sz w:val="22"/>
                <w:szCs w:val="22"/>
              </w:rPr>
              <w:t>a 透光率和雾度仅适用于</w:t>
            </w:r>
            <w:r>
              <w:rPr>
                <w:rFonts w:hint="eastAsia" w:ascii="宋体" w:hAnsi="宋体" w:eastAsia="宋体" w:cs="宋体"/>
                <w:sz w:val="22"/>
                <w:szCs w:val="22"/>
              </w:rPr>
              <w:t xml:space="preserve"> B、C 类。</w:t>
            </w:r>
          </w:p>
        </w:tc>
      </w:tr>
    </w:tbl>
    <w:p>
      <w:pPr>
        <w:spacing w:before="209" w:line="360" w:lineRule="auto"/>
        <w:jc w:val="center"/>
        <w:rPr>
          <w:rFonts w:ascii="宋体" w:hAnsi="宋体" w:eastAsia="宋体" w:cs="宋体"/>
          <w:b/>
          <w:sz w:val="20"/>
          <w:szCs w:val="20"/>
        </w:rPr>
      </w:pPr>
      <w:r>
        <w:rPr>
          <w:rFonts w:hint="eastAsia" w:ascii="宋体" w:hAnsi="宋体" w:eastAsia="宋体" w:cs="宋体"/>
          <w:b/>
          <w:spacing w:val="9"/>
          <w:sz w:val="20"/>
          <w:szCs w:val="20"/>
        </w:rPr>
        <w:t>表</w:t>
      </w:r>
      <w:r>
        <w:rPr>
          <w:rFonts w:hint="eastAsia" w:ascii="宋体" w:hAnsi="宋体" w:eastAsia="宋体" w:cs="宋体"/>
          <w:b/>
          <w:spacing w:val="6"/>
          <w:sz w:val="20"/>
          <w:szCs w:val="20"/>
        </w:rPr>
        <w:t xml:space="preserve"> 2  聚乙烯吹塑农用地面覆盖薄膜检验项目</w:t>
      </w:r>
    </w:p>
    <w:tbl>
      <w:tblPr>
        <w:tblStyle w:val="6"/>
        <w:tblW w:w="8270"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0"/>
        <w:gridCol w:w="3312"/>
        <w:gridCol w:w="34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480" w:type="dxa"/>
          </w:tcPr>
          <w:p>
            <w:pPr>
              <w:spacing w:before="213" w:line="360" w:lineRule="auto"/>
              <w:ind w:left="535"/>
              <w:rPr>
                <w:rFonts w:ascii="宋体" w:hAnsi="宋体" w:eastAsia="宋体" w:cs="宋体"/>
                <w:sz w:val="22"/>
                <w:szCs w:val="22"/>
              </w:rPr>
            </w:pPr>
            <w:r>
              <w:rPr>
                <w:rFonts w:hint="eastAsia" w:ascii="宋体" w:hAnsi="宋体" w:eastAsia="宋体" w:cs="宋体"/>
                <w:spacing w:val="5"/>
                <w:sz w:val="22"/>
                <w:szCs w:val="22"/>
              </w:rPr>
              <w:t>序</w:t>
            </w:r>
            <w:r>
              <w:rPr>
                <w:rFonts w:hint="eastAsia" w:ascii="宋体" w:hAnsi="宋体" w:eastAsia="宋体" w:cs="宋体"/>
                <w:spacing w:val="4"/>
                <w:sz w:val="22"/>
                <w:szCs w:val="22"/>
              </w:rPr>
              <w:t>号</w:t>
            </w:r>
          </w:p>
        </w:tc>
        <w:tc>
          <w:tcPr>
            <w:tcW w:w="3312" w:type="dxa"/>
          </w:tcPr>
          <w:p>
            <w:pPr>
              <w:spacing w:before="212" w:line="360" w:lineRule="auto"/>
              <w:ind w:left="1237"/>
              <w:rPr>
                <w:rFonts w:ascii="宋体" w:hAnsi="宋体" w:eastAsia="宋体" w:cs="宋体"/>
                <w:sz w:val="22"/>
                <w:szCs w:val="22"/>
              </w:rPr>
            </w:pPr>
            <w:r>
              <w:rPr>
                <w:rFonts w:hint="eastAsia" w:ascii="宋体" w:hAnsi="宋体" w:eastAsia="宋体" w:cs="宋体"/>
                <w:spacing w:val="8"/>
                <w:sz w:val="22"/>
                <w:szCs w:val="22"/>
              </w:rPr>
              <w:t>检验项目</w:t>
            </w:r>
          </w:p>
        </w:tc>
        <w:tc>
          <w:tcPr>
            <w:tcW w:w="3478" w:type="dxa"/>
          </w:tcPr>
          <w:p>
            <w:pPr>
              <w:spacing w:before="212" w:line="360" w:lineRule="auto"/>
              <w:ind w:left="1321"/>
              <w:rPr>
                <w:rFonts w:ascii="宋体" w:hAnsi="宋体" w:eastAsia="宋体" w:cs="宋体"/>
                <w:sz w:val="22"/>
                <w:szCs w:val="22"/>
              </w:rPr>
            </w:pPr>
            <w:r>
              <w:rPr>
                <w:rFonts w:hint="eastAsia" w:ascii="宋体" w:hAnsi="宋体" w:eastAsia="宋体" w:cs="宋体"/>
                <w:spacing w:val="8"/>
                <w:sz w:val="22"/>
                <w:szCs w:val="2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480" w:type="dxa"/>
          </w:tcPr>
          <w:p>
            <w:pPr>
              <w:spacing w:before="188" w:line="360" w:lineRule="auto"/>
              <w:ind w:left="707"/>
              <w:rPr>
                <w:rFonts w:ascii="宋体" w:hAnsi="宋体" w:eastAsia="宋体" w:cs="宋体"/>
                <w:sz w:val="22"/>
                <w:szCs w:val="22"/>
              </w:rPr>
            </w:pPr>
            <w:r>
              <w:rPr>
                <w:rFonts w:hint="eastAsia" w:ascii="宋体" w:hAnsi="宋体" w:eastAsia="宋体" w:cs="宋体"/>
                <w:sz w:val="22"/>
                <w:szCs w:val="22"/>
              </w:rPr>
              <w:t>1</w:t>
            </w:r>
          </w:p>
        </w:tc>
        <w:tc>
          <w:tcPr>
            <w:tcW w:w="3312" w:type="dxa"/>
          </w:tcPr>
          <w:p>
            <w:pPr>
              <w:spacing w:before="156" w:line="360" w:lineRule="auto"/>
              <w:jc w:val="center"/>
              <w:rPr>
                <w:rFonts w:ascii="宋体" w:hAnsi="宋体" w:eastAsia="宋体" w:cs="宋体"/>
                <w:sz w:val="22"/>
                <w:szCs w:val="22"/>
              </w:rPr>
            </w:pPr>
            <w:r>
              <w:rPr>
                <w:rFonts w:hint="eastAsia" w:ascii="宋体" w:hAnsi="宋体" w:eastAsia="宋体" w:cs="宋体"/>
                <w:sz w:val="22"/>
                <w:szCs w:val="22"/>
              </w:rPr>
              <w:t>外观</w:t>
            </w:r>
          </w:p>
        </w:tc>
        <w:tc>
          <w:tcPr>
            <w:tcW w:w="3478" w:type="dxa"/>
          </w:tcPr>
          <w:p>
            <w:pPr>
              <w:spacing w:before="156" w:line="360" w:lineRule="auto"/>
              <w:jc w:val="center"/>
              <w:rPr>
                <w:rFonts w:ascii="宋体" w:hAnsi="宋体" w:eastAsia="宋体" w:cs="宋体"/>
                <w:sz w:val="22"/>
                <w:szCs w:val="22"/>
              </w:rPr>
            </w:pPr>
            <w:r>
              <w:rPr>
                <w:rFonts w:hint="eastAsia" w:ascii="宋体" w:hAnsi="宋体" w:eastAsia="宋体" w:cs="宋体"/>
                <w:sz w:val="22"/>
                <w:szCs w:val="22"/>
              </w:rPr>
              <w:t>GB 13735-2017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480" w:type="dxa"/>
          </w:tcPr>
          <w:p>
            <w:pPr>
              <w:spacing w:before="191" w:line="360" w:lineRule="auto"/>
              <w:ind w:left="694"/>
              <w:rPr>
                <w:rFonts w:ascii="宋体" w:hAnsi="宋体" w:eastAsia="宋体" w:cs="宋体"/>
                <w:sz w:val="22"/>
                <w:szCs w:val="22"/>
              </w:rPr>
            </w:pPr>
            <w:r>
              <w:rPr>
                <w:rFonts w:hint="eastAsia" w:ascii="宋体" w:hAnsi="宋体" w:eastAsia="宋体" w:cs="宋体"/>
                <w:sz w:val="22"/>
                <w:szCs w:val="22"/>
              </w:rPr>
              <w:t>2</w:t>
            </w:r>
          </w:p>
        </w:tc>
        <w:tc>
          <w:tcPr>
            <w:tcW w:w="3312" w:type="dxa"/>
          </w:tcPr>
          <w:p>
            <w:pPr>
              <w:spacing w:before="156" w:line="360" w:lineRule="auto"/>
              <w:jc w:val="center"/>
              <w:rPr>
                <w:rFonts w:ascii="宋体" w:hAnsi="宋体" w:eastAsia="宋体" w:cs="宋体"/>
                <w:sz w:val="22"/>
                <w:szCs w:val="22"/>
              </w:rPr>
            </w:pPr>
            <w:r>
              <w:rPr>
                <w:rFonts w:hint="eastAsia" w:ascii="宋体" w:hAnsi="宋体" w:eastAsia="宋体" w:cs="宋体"/>
                <w:spacing w:val="9"/>
                <w:sz w:val="22"/>
                <w:szCs w:val="22"/>
              </w:rPr>
              <w:t>拉</w:t>
            </w:r>
            <w:r>
              <w:rPr>
                <w:rFonts w:hint="eastAsia" w:ascii="宋体" w:hAnsi="宋体" w:eastAsia="宋体" w:cs="宋体"/>
                <w:spacing w:val="7"/>
                <w:sz w:val="22"/>
                <w:szCs w:val="22"/>
              </w:rPr>
              <w:t>伸负荷 (纵、横向)</w:t>
            </w:r>
          </w:p>
        </w:tc>
        <w:tc>
          <w:tcPr>
            <w:tcW w:w="3478" w:type="dxa"/>
          </w:tcPr>
          <w:p>
            <w:pPr>
              <w:spacing w:before="156" w:line="360" w:lineRule="auto"/>
              <w:jc w:val="center"/>
              <w:rPr>
                <w:rFonts w:ascii="宋体" w:hAnsi="宋体" w:eastAsia="宋体" w:cs="宋体"/>
                <w:sz w:val="22"/>
                <w:szCs w:val="22"/>
              </w:rPr>
            </w:pPr>
            <w:r>
              <w:rPr>
                <w:rFonts w:hint="eastAsia" w:ascii="宋体" w:hAnsi="宋体" w:eastAsia="宋体" w:cs="宋体"/>
                <w:spacing w:val="-1"/>
                <w:sz w:val="22"/>
                <w:szCs w:val="22"/>
              </w:rPr>
              <w:t>GB</w:t>
            </w:r>
            <w:r>
              <w:rPr>
                <w:rFonts w:hint="eastAsia" w:ascii="宋体" w:hAnsi="宋体" w:eastAsia="宋体" w:cs="宋体"/>
                <w:spacing w:val="-2"/>
                <w:sz w:val="22"/>
                <w:szCs w:val="22"/>
              </w:rPr>
              <w:t xml:space="preserve"> 13735-2017 中第 6</w:t>
            </w:r>
            <w:r>
              <w:rPr>
                <w:rFonts w:hint="eastAsia" w:ascii="宋体" w:hAnsi="宋体" w:eastAsia="宋体" w:cs="宋体"/>
                <w:spacing w:val="-1"/>
                <w:sz w:val="22"/>
                <w:szCs w:val="22"/>
              </w:rPr>
              <w:t>.7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480" w:type="dxa"/>
          </w:tcPr>
          <w:p>
            <w:pPr>
              <w:spacing w:before="192" w:line="360" w:lineRule="auto"/>
              <w:ind w:left="695"/>
              <w:rPr>
                <w:rFonts w:ascii="宋体" w:hAnsi="宋体" w:eastAsia="宋体" w:cs="宋体"/>
                <w:sz w:val="22"/>
                <w:szCs w:val="22"/>
              </w:rPr>
            </w:pPr>
            <w:r>
              <w:rPr>
                <w:rFonts w:hint="eastAsia" w:ascii="宋体" w:hAnsi="宋体" w:eastAsia="宋体" w:cs="宋体"/>
                <w:sz w:val="22"/>
                <w:szCs w:val="22"/>
              </w:rPr>
              <w:t>3</w:t>
            </w:r>
          </w:p>
        </w:tc>
        <w:tc>
          <w:tcPr>
            <w:tcW w:w="3312" w:type="dxa"/>
          </w:tcPr>
          <w:p>
            <w:pPr>
              <w:spacing w:before="158" w:line="360" w:lineRule="auto"/>
              <w:jc w:val="center"/>
              <w:rPr>
                <w:rFonts w:ascii="宋体" w:hAnsi="宋体" w:eastAsia="宋体" w:cs="宋体"/>
                <w:sz w:val="22"/>
                <w:szCs w:val="22"/>
              </w:rPr>
            </w:pPr>
            <w:r>
              <w:rPr>
                <w:rFonts w:hint="eastAsia" w:ascii="宋体" w:hAnsi="宋体" w:eastAsia="宋体" w:cs="宋体"/>
                <w:spacing w:val="8"/>
                <w:sz w:val="22"/>
                <w:szCs w:val="22"/>
              </w:rPr>
              <w:t>断</w:t>
            </w:r>
            <w:r>
              <w:rPr>
                <w:rFonts w:hint="eastAsia" w:ascii="宋体" w:hAnsi="宋体" w:eastAsia="宋体" w:cs="宋体"/>
                <w:spacing w:val="7"/>
                <w:sz w:val="22"/>
                <w:szCs w:val="22"/>
              </w:rPr>
              <w:t>裂标称应变 (纵、横向)</w:t>
            </w:r>
          </w:p>
        </w:tc>
        <w:tc>
          <w:tcPr>
            <w:tcW w:w="3478" w:type="dxa"/>
          </w:tcPr>
          <w:p>
            <w:pPr>
              <w:spacing w:before="158" w:line="360" w:lineRule="auto"/>
              <w:jc w:val="center"/>
              <w:rPr>
                <w:rFonts w:ascii="宋体" w:hAnsi="宋体" w:eastAsia="宋体" w:cs="宋体"/>
                <w:sz w:val="22"/>
                <w:szCs w:val="22"/>
              </w:rPr>
            </w:pPr>
            <w:r>
              <w:rPr>
                <w:rFonts w:hint="eastAsia" w:ascii="宋体" w:hAnsi="宋体" w:eastAsia="宋体" w:cs="宋体"/>
                <w:spacing w:val="-1"/>
                <w:sz w:val="22"/>
                <w:szCs w:val="22"/>
              </w:rPr>
              <w:t>GB</w:t>
            </w:r>
            <w:r>
              <w:rPr>
                <w:rFonts w:hint="eastAsia" w:ascii="宋体" w:hAnsi="宋体" w:eastAsia="宋体" w:cs="宋体"/>
                <w:spacing w:val="-2"/>
                <w:sz w:val="22"/>
                <w:szCs w:val="22"/>
              </w:rPr>
              <w:t xml:space="preserve"> 13735-2017 中第 6</w:t>
            </w:r>
            <w:r>
              <w:rPr>
                <w:rFonts w:hint="eastAsia" w:ascii="宋体" w:hAnsi="宋体" w:eastAsia="宋体" w:cs="宋体"/>
                <w:spacing w:val="-1"/>
                <w:sz w:val="22"/>
                <w:szCs w:val="22"/>
              </w:rPr>
              <w:t>.7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480" w:type="dxa"/>
          </w:tcPr>
          <w:p>
            <w:pPr>
              <w:spacing w:before="198" w:line="360" w:lineRule="auto"/>
              <w:ind w:left="690"/>
              <w:rPr>
                <w:rFonts w:ascii="宋体" w:hAnsi="宋体" w:eastAsia="宋体" w:cs="宋体"/>
                <w:sz w:val="22"/>
                <w:szCs w:val="22"/>
              </w:rPr>
            </w:pPr>
            <w:r>
              <w:rPr>
                <w:rFonts w:hint="eastAsia" w:ascii="宋体" w:hAnsi="宋体" w:eastAsia="宋体" w:cs="宋体"/>
                <w:sz w:val="22"/>
                <w:szCs w:val="22"/>
              </w:rPr>
              <w:t>4</w:t>
            </w:r>
          </w:p>
        </w:tc>
        <w:tc>
          <w:tcPr>
            <w:tcW w:w="3312" w:type="dxa"/>
          </w:tcPr>
          <w:p>
            <w:pPr>
              <w:spacing w:before="159" w:line="360" w:lineRule="auto"/>
              <w:jc w:val="center"/>
              <w:rPr>
                <w:rFonts w:ascii="宋体" w:hAnsi="宋体" w:eastAsia="宋体" w:cs="宋体"/>
                <w:sz w:val="22"/>
                <w:szCs w:val="22"/>
              </w:rPr>
            </w:pPr>
            <w:r>
              <w:rPr>
                <w:rFonts w:hint="eastAsia" w:ascii="宋体" w:hAnsi="宋体" w:eastAsia="宋体" w:cs="宋体"/>
                <w:spacing w:val="14"/>
                <w:sz w:val="22"/>
                <w:szCs w:val="22"/>
              </w:rPr>
              <w:t>直</w:t>
            </w:r>
            <w:r>
              <w:rPr>
                <w:rFonts w:hint="eastAsia" w:ascii="宋体" w:hAnsi="宋体" w:eastAsia="宋体" w:cs="宋体"/>
                <w:spacing w:val="8"/>
                <w:sz w:val="22"/>
                <w:szCs w:val="22"/>
              </w:rPr>
              <w:t>角</w:t>
            </w:r>
            <w:r>
              <w:rPr>
                <w:rFonts w:hint="eastAsia" w:ascii="宋体" w:hAnsi="宋体" w:eastAsia="宋体" w:cs="宋体"/>
                <w:spacing w:val="7"/>
                <w:sz w:val="22"/>
                <w:szCs w:val="22"/>
              </w:rPr>
              <w:t>撕裂负荷 (纵、横向)</w:t>
            </w:r>
          </w:p>
        </w:tc>
        <w:tc>
          <w:tcPr>
            <w:tcW w:w="3478" w:type="dxa"/>
          </w:tcPr>
          <w:p>
            <w:pPr>
              <w:spacing w:before="159" w:line="360" w:lineRule="auto"/>
              <w:jc w:val="center"/>
              <w:rPr>
                <w:rFonts w:ascii="宋体" w:hAnsi="宋体" w:eastAsia="宋体" w:cs="宋体"/>
                <w:sz w:val="22"/>
                <w:szCs w:val="22"/>
              </w:rPr>
            </w:pPr>
            <w:r>
              <w:rPr>
                <w:rFonts w:hint="eastAsia" w:ascii="宋体" w:hAnsi="宋体" w:eastAsia="宋体" w:cs="宋体"/>
                <w:sz w:val="22"/>
                <w:szCs w:val="22"/>
              </w:rPr>
              <w:t>QB</w:t>
            </w:r>
            <w:r>
              <w:rPr>
                <w:rFonts w:hint="eastAsia" w:ascii="宋体" w:hAnsi="宋体" w:eastAsia="宋体" w:cs="宋体"/>
                <w:spacing w:val="10"/>
                <w:sz w:val="22"/>
                <w:szCs w:val="22"/>
              </w:rPr>
              <w:t>/</w:t>
            </w:r>
            <w:r>
              <w:rPr>
                <w:rFonts w:hint="eastAsia" w:ascii="宋体" w:hAnsi="宋体" w:eastAsia="宋体" w:cs="宋体"/>
                <w:sz w:val="22"/>
                <w:szCs w:val="22"/>
              </w:rPr>
              <w:t>T</w:t>
            </w:r>
            <w:r>
              <w:rPr>
                <w:rFonts w:hint="eastAsia" w:ascii="宋体" w:hAnsi="宋体" w:eastAsia="宋体" w:cs="宋体"/>
                <w:spacing w:val="6"/>
                <w:sz w:val="22"/>
                <w:szCs w:val="22"/>
              </w:rPr>
              <w:t xml:space="preserve"> </w:t>
            </w:r>
            <w:r>
              <w:rPr>
                <w:rFonts w:hint="eastAsia" w:ascii="宋体" w:hAnsi="宋体" w:eastAsia="宋体" w:cs="宋体"/>
                <w:spacing w:val="5"/>
                <w:sz w:val="22"/>
                <w:szCs w:val="22"/>
              </w:rPr>
              <w:t>1130-1991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480" w:type="dxa"/>
          </w:tcPr>
          <w:p>
            <w:pPr>
              <w:spacing w:before="198" w:line="360" w:lineRule="auto"/>
              <w:ind w:left="690"/>
              <w:rPr>
                <w:rFonts w:ascii="宋体" w:hAnsi="宋体" w:eastAsia="宋体" w:cs="宋体"/>
                <w:sz w:val="22"/>
                <w:szCs w:val="22"/>
              </w:rPr>
            </w:pPr>
            <w:r>
              <w:rPr>
                <w:rFonts w:hint="eastAsia" w:ascii="宋体" w:hAnsi="宋体" w:eastAsia="宋体" w:cs="宋体"/>
                <w:sz w:val="22"/>
                <w:szCs w:val="22"/>
              </w:rPr>
              <w:t>5</w:t>
            </w:r>
          </w:p>
        </w:tc>
        <w:tc>
          <w:tcPr>
            <w:tcW w:w="3312" w:type="dxa"/>
          </w:tcPr>
          <w:p>
            <w:pPr>
              <w:spacing w:before="166" w:line="360" w:lineRule="auto"/>
              <w:jc w:val="center"/>
              <w:rPr>
                <w:rFonts w:ascii="宋体" w:hAnsi="宋体" w:eastAsia="宋体" w:cs="宋体"/>
                <w:spacing w:val="8"/>
                <w:sz w:val="22"/>
                <w:szCs w:val="22"/>
              </w:rPr>
            </w:pPr>
            <w:r>
              <w:rPr>
                <w:rFonts w:hint="eastAsia" w:ascii="宋体" w:hAnsi="宋体" w:eastAsia="宋体" w:cs="宋体"/>
                <w:spacing w:val="8"/>
                <w:sz w:val="22"/>
                <w:szCs w:val="22"/>
              </w:rPr>
              <w:t>厚度和厚度偏</w:t>
            </w:r>
            <w:r>
              <w:rPr>
                <w:rFonts w:hint="eastAsia" w:ascii="宋体" w:hAnsi="宋体" w:eastAsia="宋体" w:cs="宋体"/>
                <w:spacing w:val="7"/>
                <w:sz w:val="22"/>
                <w:szCs w:val="22"/>
              </w:rPr>
              <w:t>差</w:t>
            </w:r>
          </w:p>
        </w:tc>
        <w:tc>
          <w:tcPr>
            <w:tcW w:w="3478" w:type="dxa"/>
          </w:tcPr>
          <w:p>
            <w:pPr>
              <w:spacing w:before="166" w:line="360" w:lineRule="auto"/>
              <w:jc w:val="center"/>
              <w:rPr>
                <w:rFonts w:ascii="宋体" w:hAnsi="宋体" w:eastAsia="宋体" w:cs="宋体"/>
                <w:spacing w:val="-1"/>
                <w:sz w:val="22"/>
                <w:szCs w:val="22"/>
              </w:rPr>
            </w:pPr>
            <w:r>
              <w:rPr>
                <w:rFonts w:hint="eastAsia" w:ascii="宋体" w:hAnsi="宋体" w:eastAsia="宋体" w:cs="宋体"/>
                <w:spacing w:val="-1"/>
                <w:sz w:val="22"/>
                <w:szCs w:val="22"/>
              </w:rPr>
              <w:t>GB</w:t>
            </w:r>
            <w:r>
              <w:rPr>
                <w:rFonts w:hint="eastAsia" w:ascii="宋体" w:hAnsi="宋体" w:eastAsia="宋体" w:cs="宋体"/>
                <w:spacing w:val="-2"/>
                <w:sz w:val="22"/>
                <w:szCs w:val="22"/>
              </w:rPr>
              <w:t xml:space="preserve"> 13735-2017 中第 6</w:t>
            </w:r>
            <w:r>
              <w:rPr>
                <w:rFonts w:hint="eastAsia" w:ascii="宋体" w:hAnsi="宋体" w:eastAsia="宋体" w:cs="宋体"/>
                <w:spacing w:val="-1"/>
                <w:sz w:val="22"/>
                <w:szCs w:val="22"/>
              </w:rPr>
              <w:t>.3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480" w:type="dxa"/>
          </w:tcPr>
          <w:p>
            <w:pPr>
              <w:spacing w:before="198" w:line="360" w:lineRule="auto"/>
              <w:ind w:left="690"/>
              <w:rPr>
                <w:rFonts w:ascii="宋体" w:hAnsi="宋体" w:eastAsia="宋体" w:cs="宋体"/>
                <w:sz w:val="22"/>
                <w:szCs w:val="22"/>
              </w:rPr>
            </w:pPr>
            <w:r>
              <w:rPr>
                <w:rFonts w:hint="eastAsia" w:ascii="宋体" w:hAnsi="宋体" w:eastAsia="宋体" w:cs="宋体"/>
                <w:sz w:val="22"/>
                <w:szCs w:val="22"/>
              </w:rPr>
              <w:t>6</w:t>
            </w:r>
          </w:p>
        </w:tc>
        <w:tc>
          <w:tcPr>
            <w:tcW w:w="3312" w:type="dxa"/>
          </w:tcPr>
          <w:p>
            <w:pPr>
              <w:spacing w:before="166" w:line="360" w:lineRule="auto"/>
              <w:jc w:val="center"/>
              <w:rPr>
                <w:rFonts w:ascii="宋体" w:hAnsi="宋体" w:eastAsia="宋体" w:cs="宋体"/>
                <w:spacing w:val="8"/>
                <w:sz w:val="22"/>
                <w:szCs w:val="22"/>
              </w:rPr>
            </w:pPr>
            <w:r>
              <w:rPr>
                <w:rFonts w:hint="eastAsia" w:ascii="宋体" w:hAnsi="宋体" w:eastAsia="宋体" w:cs="宋体"/>
                <w:spacing w:val="8"/>
                <w:sz w:val="22"/>
                <w:szCs w:val="22"/>
              </w:rPr>
              <w:t>宽度</w:t>
            </w:r>
          </w:p>
        </w:tc>
        <w:tc>
          <w:tcPr>
            <w:tcW w:w="3478" w:type="dxa"/>
          </w:tcPr>
          <w:p>
            <w:pPr>
              <w:spacing w:before="166" w:line="360" w:lineRule="auto"/>
              <w:jc w:val="center"/>
              <w:rPr>
                <w:rFonts w:ascii="宋体" w:hAnsi="宋体" w:eastAsia="宋体" w:cs="宋体"/>
                <w:spacing w:val="-1"/>
                <w:sz w:val="22"/>
                <w:szCs w:val="22"/>
              </w:rPr>
            </w:pPr>
            <w:r>
              <w:rPr>
                <w:rFonts w:hint="eastAsia" w:ascii="宋体" w:hAnsi="宋体" w:eastAsia="宋体" w:cs="宋体"/>
                <w:spacing w:val="-1"/>
                <w:sz w:val="22"/>
                <w:szCs w:val="22"/>
              </w:rPr>
              <w:t>GB 13735-2017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480" w:type="dxa"/>
          </w:tcPr>
          <w:p>
            <w:pPr>
              <w:spacing w:before="198" w:line="360" w:lineRule="auto"/>
              <w:ind w:left="690"/>
              <w:rPr>
                <w:rFonts w:ascii="宋体" w:hAnsi="宋体" w:eastAsia="宋体" w:cs="宋体"/>
                <w:sz w:val="22"/>
                <w:szCs w:val="22"/>
              </w:rPr>
            </w:pPr>
            <w:r>
              <w:rPr>
                <w:rFonts w:hint="eastAsia" w:ascii="宋体" w:hAnsi="宋体" w:eastAsia="宋体" w:cs="宋体"/>
                <w:sz w:val="22"/>
                <w:szCs w:val="22"/>
              </w:rPr>
              <w:t>7</w:t>
            </w:r>
          </w:p>
        </w:tc>
        <w:tc>
          <w:tcPr>
            <w:tcW w:w="3312" w:type="dxa"/>
          </w:tcPr>
          <w:p>
            <w:pPr>
              <w:spacing w:before="166" w:line="360" w:lineRule="auto"/>
              <w:jc w:val="center"/>
              <w:rPr>
                <w:rFonts w:ascii="宋体" w:hAnsi="宋体" w:eastAsia="宋体" w:cs="宋体"/>
                <w:spacing w:val="8"/>
                <w:sz w:val="22"/>
                <w:szCs w:val="22"/>
              </w:rPr>
            </w:pPr>
            <w:r>
              <w:rPr>
                <w:rFonts w:hint="eastAsia" w:ascii="宋体" w:hAnsi="宋体" w:eastAsia="宋体" w:cs="宋体"/>
                <w:spacing w:val="8"/>
                <w:sz w:val="22"/>
                <w:szCs w:val="22"/>
              </w:rPr>
              <w:t>净质量</w:t>
            </w:r>
          </w:p>
        </w:tc>
        <w:tc>
          <w:tcPr>
            <w:tcW w:w="3478" w:type="dxa"/>
          </w:tcPr>
          <w:p>
            <w:pPr>
              <w:spacing w:before="166" w:line="360" w:lineRule="auto"/>
              <w:jc w:val="center"/>
              <w:rPr>
                <w:rFonts w:ascii="宋体" w:hAnsi="宋体" w:eastAsia="宋体" w:cs="宋体"/>
                <w:spacing w:val="-1"/>
                <w:sz w:val="22"/>
                <w:szCs w:val="22"/>
              </w:rPr>
            </w:pPr>
            <w:r>
              <w:rPr>
                <w:rFonts w:hint="eastAsia" w:ascii="宋体" w:hAnsi="宋体" w:eastAsia="宋体" w:cs="宋体"/>
                <w:spacing w:val="-1"/>
                <w:sz w:val="22"/>
                <w:szCs w:val="22"/>
              </w:rPr>
              <w:t>GB 13735-2017</w:t>
            </w:r>
          </w:p>
        </w:tc>
      </w:tr>
    </w:tbl>
    <w:p>
      <w:pPr>
        <w:spacing w:line="360" w:lineRule="auto"/>
        <w:ind w:left="218" w:leftChars="104"/>
        <w:rPr>
          <w:rFonts w:ascii="宋体" w:hAnsi="宋体" w:eastAsia="宋体" w:cs="宋体"/>
          <w:sz w:val="22"/>
          <w:szCs w:val="22"/>
        </w:rPr>
      </w:pPr>
      <w:r>
        <w:rPr>
          <w:rFonts w:hint="eastAsia" w:ascii="宋体" w:hAnsi="宋体" w:eastAsia="宋体" w:cs="宋体"/>
          <w:sz w:val="22"/>
          <w:szCs w:val="22"/>
        </w:rPr>
        <w:t>注：1.表 1-2 所列检验项目是有关法律法规、标准等规定的，重点涉及健康、安全、节能、环保以及消费者、有关组织反映有质量问题的重要项目。</w:t>
      </w:r>
    </w:p>
    <w:p>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2.检验方法包括相关产品标准及试验方法标准。</w:t>
      </w:r>
    </w:p>
    <w:p>
      <w:pPr>
        <w:spacing w:line="360" w:lineRule="auto"/>
        <w:ind w:left="218" w:leftChars="104"/>
        <w:rPr>
          <w:rFonts w:ascii="宋体" w:hAnsi="宋体" w:eastAsia="宋体" w:cs="宋体"/>
          <w:sz w:val="22"/>
          <w:szCs w:val="22"/>
        </w:rPr>
      </w:pPr>
      <w:r>
        <w:rPr>
          <w:rFonts w:hint="eastAsia" w:ascii="宋体" w:hAnsi="宋体" w:eastAsia="宋体" w:cs="宋体"/>
          <w:sz w:val="22"/>
          <w:szCs w:val="22"/>
        </w:rPr>
        <w:t>3.凡是注日期的文件，其随后所有的修改单 (不包括勘误的内容) 或修订版不适用于本细则。凡是不注日期的文件，其最新版本适用于本细则。</w:t>
      </w:r>
    </w:p>
    <w:p>
      <w:pPr>
        <w:spacing w:line="360" w:lineRule="auto"/>
        <w:ind w:firstLine="220" w:firstLineChars="100"/>
        <w:rPr>
          <w:rFonts w:ascii="宋体" w:hAnsi="宋体" w:eastAsia="宋体" w:cs="宋体"/>
          <w:sz w:val="22"/>
          <w:szCs w:val="22"/>
        </w:rPr>
      </w:pPr>
      <w:r>
        <w:rPr>
          <w:rFonts w:hint="eastAsia" w:ascii="宋体" w:hAnsi="宋体" w:eastAsia="宋体" w:cs="宋体"/>
          <w:sz w:val="22"/>
          <w:szCs w:val="22"/>
        </w:rPr>
        <w:t>4.执行企业标准、团体标准、地方标准的产品，检验项目参照上述内容执行。</w:t>
      </w:r>
    </w:p>
    <w:p>
      <w:pPr>
        <w:spacing w:line="360" w:lineRule="auto"/>
        <w:rPr>
          <w:rFonts w:ascii="宋体" w:hAnsi="宋体" w:eastAsia="宋体" w:cs="宋体"/>
          <w:b/>
          <w:sz w:val="20"/>
          <w:szCs w:val="20"/>
        </w:rPr>
      </w:pPr>
      <w:r>
        <w:rPr>
          <w:rFonts w:hint="eastAsia" w:ascii="宋体" w:hAnsi="宋体" w:eastAsia="宋体" w:cs="宋体"/>
          <w:b/>
          <w:sz w:val="20"/>
          <w:szCs w:val="20"/>
        </w:rPr>
        <w:t>3  判定规则</w:t>
      </w:r>
    </w:p>
    <w:p>
      <w:pPr>
        <w:spacing w:line="360" w:lineRule="auto"/>
        <w:rPr>
          <w:rFonts w:ascii="宋体" w:hAnsi="宋体" w:eastAsia="宋体" w:cs="宋体"/>
          <w:b/>
          <w:sz w:val="20"/>
          <w:szCs w:val="20"/>
        </w:rPr>
      </w:pPr>
      <w:r>
        <w:rPr>
          <w:rFonts w:hint="eastAsia" w:ascii="宋体" w:hAnsi="宋体" w:eastAsia="宋体" w:cs="宋体"/>
          <w:b/>
          <w:sz w:val="20"/>
          <w:szCs w:val="20"/>
        </w:rPr>
        <w:t>3.1  依据标准</w:t>
      </w:r>
    </w:p>
    <w:p>
      <w:pPr>
        <w:spacing w:line="360" w:lineRule="auto"/>
        <w:rPr>
          <w:rFonts w:ascii="宋体" w:hAnsi="宋体" w:eastAsia="宋体" w:cs="宋体"/>
          <w:sz w:val="22"/>
          <w:szCs w:val="22"/>
        </w:rPr>
      </w:pPr>
      <w:r>
        <w:rPr>
          <w:rFonts w:hint="eastAsia" w:ascii="宋体" w:hAnsi="宋体" w:eastAsia="宋体" w:cs="宋体"/>
          <w:sz w:val="22"/>
          <w:szCs w:val="22"/>
        </w:rPr>
        <w:t>GB/T 4455-2019  农业用聚乙烯吹塑棚膜</w:t>
      </w:r>
    </w:p>
    <w:p>
      <w:pPr>
        <w:spacing w:line="360" w:lineRule="auto"/>
        <w:rPr>
          <w:rFonts w:ascii="宋体" w:hAnsi="宋体" w:eastAsia="宋体" w:cs="宋体"/>
          <w:sz w:val="22"/>
          <w:szCs w:val="22"/>
        </w:rPr>
      </w:pPr>
      <w:r>
        <w:rPr>
          <w:rFonts w:hint="eastAsia" w:ascii="宋体" w:hAnsi="宋体" w:eastAsia="宋体" w:cs="宋体"/>
          <w:sz w:val="22"/>
          <w:szCs w:val="22"/>
        </w:rPr>
        <w:t>GB 13735-2017  聚乙烯吹塑农用地面覆盖薄膜</w:t>
      </w:r>
    </w:p>
    <w:p>
      <w:pPr>
        <w:spacing w:line="360" w:lineRule="auto"/>
        <w:rPr>
          <w:rFonts w:ascii="宋体" w:hAnsi="宋体" w:eastAsia="宋体" w:cs="宋体"/>
          <w:sz w:val="22"/>
          <w:szCs w:val="22"/>
        </w:rPr>
      </w:pPr>
      <w:r>
        <w:rPr>
          <w:rFonts w:hint="eastAsia" w:ascii="宋体" w:hAnsi="宋体" w:eastAsia="宋体" w:cs="宋体"/>
          <w:sz w:val="22"/>
          <w:szCs w:val="22"/>
        </w:rPr>
        <w:t>QB/T 1130-1991  塑料直角撕裂性能试验方法</w:t>
      </w:r>
    </w:p>
    <w:p>
      <w:pPr>
        <w:spacing w:line="360" w:lineRule="auto"/>
        <w:rPr>
          <w:rFonts w:ascii="宋体" w:hAnsi="宋体" w:eastAsia="宋体" w:cs="宋体"/>
          <w:sz w:val="22"/>
          <w:szCs w:val="22"/>
        </w:rPr>
      </w:pPr>
      <w:r>
        <w:rPr>
          <w:rFonts w:hint="eastAsia" w:ascii="宋体" w:hAnsi="宋体" w:eastAsia="宋体" w:cs="宋体"/>
          <w:sz w:val="22"/>
          <w:szCs w:val="22"/>
        </w:rPr>
        <w:t>现行有效的企业标准、团体标准、地方标准及产品明示质量要求。</w:t>
      </w:r>
    </w:p>
    <w:p>
      <w:pPr>
        <w:spacing w:line="360" w:lineRule="auto"/>
        <w:rPr>
          <w:rFonts w:ascii="宋体" w:hAnsi="宋体" w:eastAsia="宋体" w:cs="宋体"/>
          <w:b/>
          <w:sz w:val="20"/>
          <w:szCs w:val="20"/>
        </w:rPr>
      </w:pPr>
      <w:r>
        <w:rPr>
          <w:rFonts w:hint="eastAsia" w:ascii="宋体" w:hAnsi="宋体" w:eastAsia="宋体" w:cs="宋体"/>
          <w:b/>
          <w:sz w:val="20"/>
          <w:szCs w:val="20"/>
        </w:rPr>
        <w:t>3.2  判定原则</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经检验，检验项目全部合格，判定为被抽查产品合格；检验项目中任一项或一项以上不 合格，判定为被抽查产品不合格。</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若被检产品明示的质量要求高于本细则中检验项目依据的标准要求时，应按被检产品明 示的质量要求判定。</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若被检产品明示的质量要求低于本细则中检验项目依据的强制性标准要求时，应按照强 制性标准要求判定。</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若被检产品明示的质量要求低于或包含细则中检验项目依据的推荐性标准要求时，应以 被检产品明示的质量要求判定，但应在检验报告备注中进行说明。</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若被检产品明示的质量要求缺少本细则中检验项目依据的强制性标准要求时，应按照强制性标准要求判定。</w:t>
      </w:r>
    </w:p>
    <w:p>
      <w:pPr>
        <w:spacing w:line="360" w:lineRule="auto"/>
        <w:ind w:firstLine="440" w:firstLineChars="200"/>
        <w:rPr>
          <w:rFonts w:ascii="宋体" w:hAnsi="宋体" w:eastAsia="宋体" w:cs="宋体"/>
          <w:sz w:val="22"/>
          <w:szCs w:val="22"/>
        </w:rPr>
      </w:pPr>
      <w:r>
        <w:rPr>
          <w:rFonts w:hint="eastAsia" w:ascii="宋体" w:hAnsi="宋体" w:eastAsia="宋体" w:cs="宋体"/>
          <w:sz w:val="22"/>
          <w:szCs w:val="22"/>
        </w:rPr>
        <w:t>若被检产品明示的质量要求缺少本细则中检验项目依据的推荐性标准要求时，该项目不 参与判定，但应在检验报告备注中进行说明。</w:t>
      </w:r>
    </w:p>
    <w:p>
      <w:pPr>
        <w:rPr>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xNmUyN2M1NDExYWQ2NTIwYWUyZTMzYWRkNjUxZDMifQ=="/>
  </w:docVars>
  <w:rsids>
    <w:rsidRoot w:val="008D172D"/>
    <w:rsid w:val="003D0841"/>
    <w:rsid w:val="00804E60"/>
    <w:rsid w:val="00847179"/>
    <w:rsid w:val="008C7B67"/>
    <w:rsid w:val="008D172D"/>
    <w:rsid w:val="009D3AB5"/>
    <w:rsid w:val="00D3709C"/>
    <w:rsid w:val="00EE56CC"/>
    <w:rsid w:val="00F90F7F"/>
    <w:rsid w:val="029A2159"/>
    <w:rsid w:val="0D676AC1"/>
    <w:rsid w:val="185A1264"/>
    <w:rsid w:val="1B5A7DEF"/>
    <w:rsid w:val="3D81721B"/>
    <w:rsid w:val="7C6E003E"/>
    <w:rsid w:val="B67D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530</Words>
  <Characters>3023</Characters>
  <Lines>25</Lines>
  <Paragraphs>7</Paragraphs>
  <TotalTime>27</TotalTime>
  <ScaleCrop>false</ScaleCrop>
  <LinksUpToDate>false</LinksUpToDate>
  <CharactersWithSpaces>3546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2023-02-17T10:59:00Z</dcterms:created>
  <dc:creator>wz</dc:creator>
  <cp:lastModifiedBy>user</cp:lastModifiedBy>
  <dcterms:modified xsi:type="dcterms:W3CDTF">2023-02-17T14:21:30Z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48B1E5EE0F9B4CB3AA8494D91ECDA345</vt:lpwstr>
  </property>
</Properties>
</file>