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ind w:firstLine="562"/>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eastAsia="zh-CN" w:bidi="ar"/>
        </w:rPr>
        <w:t>电动自行车充电器</w:t>
      </w:r>
      <w:r>
        <w:rPr>
          <w:rFonts w:hint="eastAsia" w:ascii="宋体" w:hAnsi="宋体" w:eastAsia="宋体" w:cs="宋体"/>
          <w:b/>
          <w:bCs/>
          <w:color w:val="000000"/>
          <w:kern w:val="0"/>
          <w:sz w:val="28"/>
          <w:szCs w:val="28"/>
          <w:lang w:bidi="ar"/>
        </w:rPr>
        <w:t>产品质量市级监督抽查实施细则</w:t>
      </w:r>
    </w:p>
    <w:p>
      <w:pPr>
        <w:widowControl/>
        <w:spacing w:line="560" w:lineRule="atLeast"/>
        <w:ind w:firstLine="402"/>
        <w:jc w:val="left"/>
        <w:rPr>
          <w:rFonts w:ascii="微软雅黑" w:hAnsi="微软雅黑" w:eastAsia="微软雅黑" w:cs="微软雅黑"/>
          <w:color w:val="333333"/>
          <w:sz w:val="20"/>
          <w:szCs w:val="20"/>
        </w:rPr>
      </w:pPr>
      <w:r>
        <w:rPr>
          <w:rFonts w:hint="eastAsia" w:ascii="宋体" w:hAnsi="宋体" w:eastAsia="宋体" w:cs="宋体"/>
          <w:b/>
          <w:bCs/>
          <w:color w:val="000000"/>
          <w:kern w:val="0"/>
          <w:sz w:val="20"/>
          <w:szCs w:val="20"/>
          <w:lang w:bidi="ar"/>
        </w:rPr>
        <w:t>1. 抽样方法</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以随机抽样的方式在被抽样生产者、销售者的待销产品中抽取。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随机数一般可使用随机数表、骰子或扑克牌等方法产生。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每批次产品抽取样品</w:t>
      </w:r>
      <w:r>
        <w:rPr>
          <w:rFonts w:hint="eastAsia" w:ascii="宋体" w:hAnsi="宋体" w:eastAsia="宋体" w:cs="宋体"/>
          <w:color w:val="000000"/>
          <w:kern w:val="0"/>
          <w:sz w:val="20"/>
          <w:szCs w:val="20"/>
          <w:lang w:val="en-US" w:eastAsia="zh-CN" w:bidi="ar"/>
        </w:rPr>
        <w:t>3只</w:t>
      </w:r>
      <w:r>
        <w:rPr>
          <w:rFonts w:hint="eastAsia" w:ascii="宋体" w:hAnsi="宋体" w:eastAsia="宋体" w:cs="宋体"/>
          <w:color w:val="000000"/>
          <w:kern w:val="0"/>
          <w:sz w:val="20"/>
          <w:szCs w:val="20"/>
          <w:lang w:bidi="ar"/>
        </w:rPr>
        <w:t>，其中</w:t>
      </w:r>
      <w:r>
        <w:rPr>
          <w:rFonts w:hint="eastAsia" w:ascii="宋体" w:hAnsi="宋体" w:eastAsia="宋体" w:cs="宋体"/>
          <w:color w:val="000000"/>
          <w:kern w:val="0"/>
          <w:sz w:val="20"/>
          <w:szCs w:val="20"/>
          <w:lang w:val="en-US" w:eastAsia="zh-CN" w:bidi="ar"/>
        </w:rPr>
        <w:t>2只</w:t>
      </w:r>
      <w:r>
        <w:rPr>
          <w:rFonts w:hint="eastAsia" w:ascii="宋体" w:hAnsi="宋体" w:eastAsia="宋体" w:cs="宋体"/>
          <w:color w:val="000000"/>
          <w:kern w:val="0"/>
          <w:sz w:val="20"/>
          <w:szCs w:val="20"/>
          <w:lang w:bidi="ar"/>
        </w:rPr>
        <w:t>作为检验样品，</w:t>
      </w:r>
      <w:r>
        <w:rPr>
          <w:rFonts w:hint="eastAsia" w:ascii="宋体" w:hAnsi="宋体" w:eastAsia="宋体" w:cs="宋体"/>
          <w:color w:val="000000"/>
          <w:kern w:val="0"/>
          <w:sz w:val="20"/>
          <w:szCs w:val="20"/>
          <w:lang w:val="en-US" w:eastAsia="zh-CN" w:bidi="ar"/>
        </w:rPr>
        <w:t>2只</w:t>
      </w:r>
      <w:r>
        <w:rPr>
          <w:rFonts w:hint="eastAsia" w:ascii="宋体" w:hAnsi="宋体" w:eastAsia="宋体" w:cs="宋体"/>
          <w:color w:val="000000"/>
          <w:kern w:val="0"/>
          <w:sz w:val="20"/>
          <w:szCs w:val="20"/>
          <w:lang w:bidi="ar"/>
        </w:rPr>
        <w:t xml:space="preserve">作为备用样品，备用样品封存于受检单位。 </w:t>
      </w:r>
    </w:p>
    <w:p>
      <w:pPr>
        <w:widowControl/>
        <w:spacing w:line="360" w:lineRule="auto"/>
        <w:ind w:firstLine="402"/>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pPr>
        <w:widowControl/>
        <w:spacing w:line="360" w:lineRule="auto"/>
        <w:ind w:firstLine="402"/>
        <w:jc w:val="center"/>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表 1 电动自行车充电器</w:t>
      </w:r>
      <w:bookmarkStart w:id="0" w:name="_GoBack"/>
      <w:bookmarkEnd w:id="0"/>
      <w:r>
        <w:rPr>
          <w:rFonts w:hint="eastAsia" w:cs="黑体" w:asciiTheme="minorEastAsia" w:hAnsiTheme="minorEastAsia"/>
          <w:b/>
          <w:color w:val="000000"/>
          <w:kern w:val="0"/>
          <w:sz w:val="20"/>
          <w:szCs w:val="20"/>
          <w:lang w:bidi="ar"/>
        </w:rPr>
        <w:t>检验项目</w:t>
      </w:r>
    </w:p>
    <w:tbl>
      <w:tblPr>
        <w:tblStyle w:val="7"/>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输入电流</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电源适应性</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外壳冲击</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泄漏电流</w:t>
            </w:r>
          </w:p>
        </w:tc>
        <w:tc>
          <w:tcPr>
            <w:tcW w:w="34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电气强度</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爬电距离</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电气间隙</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防触电保护</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GB 4706.1-2015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内部布线</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331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电源软线</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eastAsia="zh-CN" w:bidi="ar"/>
              </w:rPr>
              <w:t>GB/T 36944-2018</w:t>
            </w:r>
          </w:p>
        </w:tc>
      </w:tr>
    </w:tbl>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注：1.上表所列检验项目是有关法律法规、标准等规定的，重点涉及健康、安全以及消费者、有关组织反映有质量问题的重要项目。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2.检验方法包括相关产品标准及试验方法标准。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3.凡是注日期的文件，其随后所有的修改单（不包括勘误的内容）或修订版不适用于本细则。凡是不注日期的文件，其最新版本适用于本细则。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4.执行企业标准、团体标准、地方标准的产品，检验项目参照上述内容执行。 </w:t>
      </w:r>
    </w:p>
    <w:p>
      <w:pPr>
        <w:widowControl/>
        <w:spacing w:line="360" w:lineRule="auto"/>
        <w:ind w:firstLine="402"/>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pPr>
        <w:widowControl/>
        <w:spacing w:line="360" w:lineRule="auto"/>
        <w:ind w:firstLine="402"/>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pPr>
        <w:pStyle w:val="10"/>
        <w:spacing w:before="34" w:line="225" w:lineRule="auto"/>
        <w:ind w:left="634"/>
        <w:rPr>
          <w:rFonts w:hint="eastAsia"/>
          <w:snapToGrid/>
          <w:sz w:val="20"/>
          <w:szCs w:val="20"/>
          <w:lang w:eastAsia="zh-CN" w:bidi="ar"/>
        </w:rPr>
      </w:pPr>
      <w:r>
        <w:rPr>
          <w:rFonts w:hint="eastAsia"/>
          <w:snapToGrid/>
          <w:sz w:val="20"/>
          <w:szCs w:val="20"/>
          <w:lang w:eastAsia="zh-CN" w:bidi="ar"/>
        </w:rPr>
        <w:t>GB/T 36944-2018 电动自行车用充电器技术要求</w:t>
      </w:r>
    </w:p>
    <w:p>
      <w:pPr>
        <w:pStyle w:val="10"/>
        <w:spacing w:before="34" w:line="225" w:lineRule="auto"/>
        <w:ind w:left="634"/>
        <w:rPr>
          <w:rFonts w:hint="eastAsia"/>
          <w:snapToGrid/>
          <w:sz w:val="20"/>
          <w:szCs w:val="20"/>
          <w:lang w:eastAsia="zh-CN" w:bidi="ar"/>
        </w:rPr>
      </w:pPr>
    </w:p>
    <w:p>
      <w:pPr>
        <w:pStyle w:val="10"/>
        <w:spacing w:before="59" w:line="230" w:lineRule="auto"/>
        <w:ind w:left="157" w:right="151" w:firstLine="400" w:firstLineChars="200"/>
        <w:rPr>
          <w:lang w:eastAsia="zh-CN"/>
        </w:rPr>
      </w:pPr>
      <w:r>
        <w:rPr>
          <w:rFonts w:hint="eastAsia"/>
          <w:sz w:val="20"/>
          <w:szCs w:val="20"/>
          <w:lang w:eastAsia="zh-CN" w:bidi="ar"/>
        </w:rPr>
        <w:t xml:space="preserve">现行有效的企业标准、团体标准、地方标准及产品明示质量要求。 </w:t>
      </w:r>
    </w:p>
    <w:p>
      <w:pPr>
        <w:widowControl/>
        <w:spacing w:line="360" w:lineRule="auto"/>
        <w:ind w:firstLine="402"/>
        <w:jc w:val="left"/>
        <w:rPr>
          <w:rFonts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3.2 判定原则</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经检验，检验项目全部合格，判定为被抽查产品所检项目未发现不合格；检验项目中任一项或一项以上不合格，判定为被抽查产品不合格。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若被检产品明示的质量要求高于本细则中检验项目依据的标准要求时，应按被检产品明示的质量要求判定。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若被检产品明示的质量要求低于本细则中检验项目依据的强制性标准要求时，应按照强制性标准要求判定。 </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若被检产品明示的质量要求低于或包含本细则中检验项目依据的推荐性标准要求时，应以被检产品明示的质量要求判定（最小厚度及厚度项目除外），但应在检验报告备注中进行说明。</w:t>
      </w:r>
    </w:p>
    <w:p>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若被检产品明示的质量要求缺少本细则中检验项目依据的强制性标准要求时，应按照强制性标准要求判定。 </w:t>
      </w:r>
    </w:p>
    <w:p>
      <w:pPr>
        <w:widowControl/>
        <w:spacing w:line="360" w:lineRule="auto"/>
        <w:ind w:firstLine="400" w:firstLineChars="200"/>
        <w:jc w:val="left"/>
        <w:rPr>
          <w:rFonts w:hint="eastAsia"/>
        </w:rPr>
      </w:pPr>
      <w:r>
        <w:rPr>
          <w:rFonts w:hint="eastAsia" w:ascii="宋体" w:hAnsi="宋体" w:eastAsia="宋体" w:cs="宋体"/>
          <w:color w:val="000000"/>
          <w:kern w:val="0"/>
          <w:sz w:val="20"/>
          <w:szCs w:val="20"/>
          <w:lang w:bidi="ar"/>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MjQ2NGU1ZGIyNWIwMjI4YzU2MTYzNjhlZTYxMWEifQ=="/>
  </w:docVars>
  <w:rsids>
    <w:rsidRoot w:val="008D172D"/>
    <w:rsid w:val="000F3B33"/>
    <w:rsid w:val="00271A86"/>
    <w:rsid w:val="00276A5B"/>
    <w:rsid w:val="00283DB5"/>
    <w:rsid w:val="00297835"/>
    <w:rsid w:val="003D0841"/>
    <w:rsid w:val="00421264"/>
    <w:rsid w:val="004F7B98"/>
    <w:rsid w:val="0063493B"/>
    <w:rsid w:val="007374E5"/>
    <w:rsid w:val="00780A13"/>
    <w:rsid w:val="00804E60"/>
    <w:rsid w:val="00847179"/>
    <w:rsid w:val="00854783"/>
    <w:rsid w:val="0087043E"/>
    <w:rsid w:val="00893E45"/>
    <w:rsid w:val="008C7B67"/>
    <w:rsid w:val="008D172D"/>
    <w:rsid w:val="009D3AB5"/>
    <w:rsid w:val="00A73CED"/>
    <w:rsid w:val="00B55E1B"/>
    <w:rsid w:val="00B64FE0"/>
    <w:rsid w:val="00B65DD5"/>
    <w:rsid w:val="00CC2374"/>
    <w:rsid w:val="00D3709C"/>
    <w:rsid w:val="00DD66D8"/>
    <w:rsid w:val="00EE56CC"/>
    <w:rsid w:val="00EF1FB5"/>
    <w:rsid w:val="00F7287B"/>
    <w:rsid w:val="00F90F7F"/>
    <w:rsid w:val="010333FC"/>
    <w:rsid w:val="029A2159"/>
    <w:rsid w:val="02F72E56"/>
    <w:rsid w:val="0350044F"/>
    <w:rsid w:val="03E2379C"/>
    <w:rsid w:val="05B13426"/>
    <w:rsid w:val="06044D2A"/>
    <w:rsid w:val="064E6EC7"/>
    <w:rsid w:val="088968DD"/>
    <w:rsid w:val="08FA3336"/>
    <w:rsid w:val="0C85560D"/>
    <w:rsid w:val="0D676AC1"/>
    <w:rsid w:val="0DB429A2"/>
    <w:rsid w:val="0DB77A48"/>
    <w:rsid w:val="1057106E"/>
    <w:rsid w:val="1404150D"/>
    <w:rsid w:val="185A1264"/>
    <w:rsid w:val="1B5A7DEF"/>
    <w:rsid w:val="1CE343B6"/>
    <w:rsid w:val="1D796AC8"/>
    <w:rsid w:val="20E57FD0"/>
    <w:rsid w:val="21154D5A"/>
    <w:rsid w:val="227B6E3E"/>
    <w:rsid w:val="244D480A"/>
    <w:rsid w:val="28237D5C"/>
    <w:rsid w:val="2ADE440E"/>
    <w:rsid w:val="2B8A00F2"/>
    <w:rsid w:val="39BA6046"/>
    <w:rsid w:val="3BE70C49"/>
    <w:rsid w:val="3BEE0229"/>
    <w:rsid w:val="3D81721B"/>
    <w:rsid w:val="3E0755D2"/>
    <w:rsid w:val="3ECB6600"/>
    <w:rsid w:val="454669E0"/>
    <w:rsid w:val="46081EE8"/>
    <w:rsid w:val="49170DBF"/>
    <w:rsid w:val="49666E4F"/>
    <w:rsid w:val="4CD945DE"/>
    <w:rsid w:val="52343FCF"/>
    <w:rsid w:val="53277E51"/>
    <w:rsid w:val="54A31759"/>
    <w:rsid w:val="57C00874"/>
    <w:rsid w:val="58727DC0"/>
    <w:rsid w:val="58D740C7"/>
    <w:rsid w:val="5BDC6748"/>
    <w:rsid w:val="5D14183F"/>
    <w:rsid w:val="5F8D1984"/>
    <w:rsid w:val="604F6C39"/>
    <w:rsid w:val="60D31618"/>
    <w:rsid w:val="643423CE"/>
    <w:rsid w:val="65200BA4"/>
    <w:rsid w:val="65833350"/>
    <w:rsid w:val="6FC429F6"/>
    <w:rsid w:val="71632544"/>
    <w:rsid w:val="71633B00"/>
    <w:rsid w:val="74477EFB"/>
    <w:rsid w:val="74850A24"/>
    <w:rsid w:val="74CC0400"/>
    <w:rsid w:val="75695C4F"/>
    <w:rsid w:val="773A3D47"/>
    <w:rsid w:val="780879A1"/>
    <w:rsid w:val="795F7A95"/>
    <w:rsid w:val="7BBF2A6D"/>
    <w:rsid w:val="7BE424D4"/>
    <w:rsid w:val="7C6E003E"/>
    <w:rsid w:val="7FA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Words>
  <Characters>981</Characters>
  <Lines>8</Lines>
  <Paragraphs>2</Paragraphs>
  <TotalTime>0</TotalTime>
  <ScaleCrop>false</ScaleCrop>
  <LinksUpToDate>false</LinksUpToDate>
  <CharactersWithSpaces>1151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2024-08-07T06:04:00Z</dcterms:created>
  <dc:creator>wz</dc:creator>
  <cp:lastModifiedBy>8226982979</cp:lastModifiedBy>
  <dcterms:modified xsi:type="dcterms:W3CDTF">2024-08-09T03:42:43Z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5F15C2FAE28948F0B47B35B6BA3981DF_13</vt:lpwstr>
  </property>
</Properties>
</file>