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bidi w:val="0"/>
        <w:jc w:val="center"/>
        <w:rPr>
          <w:rFonts w:ascii="黑体" w:hAnsi="黑体" w:eastAsia="黑体"/>
          <w:b/>
          <w:sz w:val="72"/>
          <w:szCs w:val="72"/>
        </w:rPr>
      </w:pPr>
      <w:r>
        <w:rPr>
          <w:rFonts w:ascii="黑体" w:hAnsi="黑体" w:eastAsia="黑体"/>
          <w:b/>
          <w:sz w:val="72"/>
          <w:szCs w:val="72"/>
        </w:rPr>
        <w:drawing>
          <wp:anchor distT="0" distB="0" distL="0" distR="0" simplePos="0" relativeHeight="1024" behindDoc="1" locked="0" layoutInCell="0" allowOverlap="1">
            <wp:simplePos x="0" y="0"/>
            <wp:positionH relativeFrom="column">
              <wp:posOffset>-979170</wp:posOffset>
            </wp:positionH>
            <wp:positionV relativeFrom="paragraph">
              <wp:posOffset>-1353185</wp:posOffset>
            </wp:positionV>
            <wp:extent cx="7577455" cy="10797540"/>
            <wp:effectExtent l="0" t="0" r="0" b="0"/>
            <wp:wrapNone/>
            <wp:docPr id="1" name="图片 7"/>
            <wp:cNvGraphicFramePr/>
            <a:graphic xmlns:a="http://schemas.openxmlformats.org/drawingml/2006/main">
              <a:graphicData uri="http://schemas.openxmlformats.org/drawingml/2006/picture">
                <pic:pic xmlns:pic="http://schemas.openxmlformats.org/drawingml/2006/picture">
                  <pic:nvPicPr>
                    <pic:cNvPr id="1" name="图片 7"/>
                    <pic:cNvPicPr/>
                  </pic:nvPicPr>
                  <pic:blipFill>
                    <a:blip r:embed="rId4"/>
                    <a:stretch>
                      <a:fillRect/>
                    </a:stretch>
                  </pic:blipFill>
                  <pic:spPr>
                    <a:xfrm>
                      <a:off x="0" y="0"/>
                      <a:ext cx="7576920" cy="10796760"/>
                    </a:xfrm>
                    <a:prstGeom prst="rect">
                      <a:avLst/>
                    </a:prstGeom>
                    <a:ln w="0">
                      <a:noFill/>
                    </a:ln>
                  </pic:spPr>
                </pic:pic>
              </a:graphicData>
            </a:graphic>
          </wp:anchor>
        </w:drawing>
      </w:r>
    </w:p>
    <w:p>
      <w:pPr>
        <w:pStyle w:val="4"/>
        <w:widowControl/>
        <w:bidi w:val="0"/>
        <w:jc w:val="center"/>
        <w:rPr>
          <w:rFonts w:ascii="黑体" w:hAnsi="黑体" w:eastAsia="黑体"/>
          <w:color w:val="002060"/>
          <w:sz w:val="72"/>
          <w:szCs w:val="72"/>
        </w:rPr>
      </w:pPr>
      <w:r>
        <mc:AlternateContent>
          <mc:Choice Requires="wps">
            <w:drawing>
              <wp:anchor distT="0" distB="0" distL="114300" distR="114300" simplePos="0" relativeHeight="1024" behindDoc="0" locked="0" layoutInCell="0" allowOverlap="1">
                <wp:simplePos x="0" y="0"/>
                <wp:positionH relativeFrom="column">
                  <wp:posOffset>-1054100</wp:posOffset>
                </wp:positionH>
                <wp:positionV relativeFrom="paragraph">
                  <wp:posOffset>549275</wp:posOffset>
                </wp:positionV>
                <wp:extent cx="7571740" cy="211137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7571740" cy="2111375"/>
                        </a:xfrm>
                        <a:prstGeom prst="rect">
                          <a:avLst/>
                        </a:prstGeom>
                        <a:solidFill>
                          <a:srgbClr val="FFFFFF">
                            <a:alpha val="0"/>
                          </a:srgbClr>
                        </a:solidFill>
                      </wps:spPr>
                      <wps:txbx>
                        <w:txbxContent>
                          <w:p>
                            <w:pPr>
                              <w:pStyle w:val="10"/>
                              <w:widowControl/>
                              <w:bidi w:val="0"/>
                              <w:spacing w:line="1200" w:lineRule="exact"/>
                              <w:jc w:val="center"/>
                              <w:rPr>
                                <w:rFonts w:ascii="黑体" w:hAnsi="黑体" w:eastAsia="黑体"/>
                                <w:color w:val="FDEFBE"/>
                                <w:sz w:val="96"/>
                                <w:szCs w:val="96"/>
                              </w:rPr>
                            </w:pPr>
                            <w:r>
                              <w:rPr>
                                <w:rFonts w:ascii="黑体" w:hAnsi="黑体" w:eastAsia="黑体"/>
                                <w:color w:val="FDEFBE"/>
                                <w:sz w:val="96"/>
                                <w:szCs w:val="96"/>
                              </w:rPr>
                              <w:t>唐山市工商行政管理局</w:t>
                            </w:r>
                          </w:p>
                          <w:p>
                            <w:pPr>
                              <w:pStyle w:val="10"/>
                              <w:widowControl/>
                              <w:bidi w:val="0"/>
                              <w:spacing w:line="1200" w:lineRule="exact"/>
                              <w:jc w:val="center"/>
                              <w:rPr>
                                <w:color w:val="FDEFBE"/>
                                <w:sz w:val="96"/>
                                <w:szCs w:val="96"/>
                              </w:rPr>
                            </w:pPr>
                            <w:r>
                              <w:rPr>
                                <w:rFonts w:ascii="黑体" w:hAnsi="黑体" w:eastAsia="黑体"/>
                                <w:color w:val="FDEFBE"/>
                                <w:sz w:val="96"/>
                                <w:szCs w:val="96"/>
                              </w:rPr>
                              <w:t>2018年度部门决算</w:t>
                            </w:r>
                          </w:p>
                          <w:p>
                            <w:pPr>
                              <w:pStyle w:val="10"/>
                              <w:bidi w:val="0"/>
                              <w:spacing w:beforeLines="0" w:beforeAutospacing="0" w:after="160" w:afterAutospacing="0"/>
                              <w:rPr>
                                <w:color w:val="FDEFBE"/>
                                <w:sz w:val="96"/>
                                <w:szCs w:val="96"/>
                              </w:rPr>
                            </w:pPr>
                          </w:p>
                        </w:txbxContent>
                      </wps:txbx>
                      <wps:bodyPr lIns="91440" tIns="45720" rIns="91440" bIns="45720" anchor="t">
                        <a:noAutofit/>
                      </wps:bodyPr>
                    </wps:wsp>
                  </a:graphicData>
                </a:graphic>
              </wp:anchor>
            </w:drawing>
          </mc:Choice>
          <mc:Fallback>
            <w:pict>
              <v:shape id="_x0000_s1026" o:spid="_x0000_s1026" o:spt="202" type="#_x0000_t202" style="position:absolute;left:0pt;margin-left:-83pt;margin-top:43.25pt;height:166.25pt;width:596.2pt;z-index:1024;mso-width-relative:page;mso-height-relative:page;" fillcolor="#FFFFFF" filled="t" stroked="f" coordsize="21600,21600" o:allowincell="f" o:gfxdata="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J4MWRHaAAAA&#10;DAEAAA8AAAAAAAAAAQAgAAAAOAAAAGRycy9kb3ducmV2LnhtbFBLAQIUABQAAAAIAIdO4kALkC9Z&#10;zAEAAH8DAAAOAAAAAAAAAAEAIAAAAD8BAABkcnMvZTJvRG9jLnhtbFBLBQYAAAAABgAGAFkBAAB9&#10;BQAAAAA=&#10;">
                <v:fill on="t" opacity="0f" focussize="0,0"/>
                <v:stroke on="f"/>
                <v:imagedata o:title=""/>
                <o:lock v:ext="edit" aspectratio="f"/>
                <v:textbox>
                  <w:txbxContent>
                    <w:p>
                      <w:pPr>
                        <w:pStyle w:val="10"/>
                        <w:widowControl/>
                        <w:bidi w:val="0"/>
                        <w:spacing w:line="1200" w:lineRule="exact"/>
                        <w:jc w:val="center"/>
                        <w:rPr>
                          <w:rFonts w:ascii="黑体" w:hAnsi="黑体" w:eastAsia="黑体"/>
                          <w:color w:val="FDEFBE"/>
                          <w:sz w:val="96"/>
                          <w:szCs w:val="96"/>
                        </w:rPr>
                      </w:pPr>
                      <w:r>
                        <w:rPr>
                          <w:rFonts w:ascii="黑体" w:hAnsi="黑体" w:eastAsia="黑体"/>
                          <w:color w:val="FDEFBE"/>
                          <w:sz w:val="96"/>
                          <w:szCs w:val="96"/>
                        </w:rPr>
                        <w:t>唐山市工商行政管理局</w:t>
                      </w:r>
                    </w:p>
                    <w:p>
                      <w:pPr>
                        <w:pStyle w:val="10"/>
                        <w:widowControl/>
                        <w:bidi w:val="0"/>
                        <w:spacing w:line="1200" w:lineRule="exact"/>
                        <w:jc w:val="center"/>
                        <w:rPr>
                          <w:color w:val="FDEFBE"/>
                          <w:sz w:val="96"/>
                          <w:szCs w:val="96"/>
                        </w:rPr>
                      </w:pPr>
                      <w:r>
                        <w:rPr>
                          <w:rFonts w:ascii="黑体" w:hAnsi="黑体" w:eastAsia="黑体"/>
                          <w:color w:val="FDEFBE"/>
                          <w:sz w:val="96"/>
                          <w:szCs w:val="96"/>
                        </w:rPr>
                        <w:t>2018年度部门决算</w:t>
                      </w:r>
                    </w:p>
                    <w:p>
                      <w:pPr>
                        <w:pStyle w:val="10"/>
                        <w:bidi w:val="0"/>
                        <w:spacing w:beforeLines="0" w:beforeAutospacing="0" w:after="160" w:afterAutospacing="0"/>
                        <w:rPr>
                          <w:color w:val="FDEFBE"/>
                          <w:sz w:val="96"/>
                          <w:szCs w:val="96"/>
                        </w:rPr>
                      </w:pPr>
                    </w:p>
                  </w:txbxContent>
                </v:textbox>
              </v:shape>
            </w:pict>
          </mc:Fallback>
        </mc:AlternateContent>
      </w:r>
    </w:p>
    <w:p>
      <w:pPr>
        <w:pStyle w:val="4"/>
        <w:widowControl/>
        <w:bidi w:val="0"/>
        <w:jc w:val="center"/>
        <w:rPr>
          <w:rFonts w:ascii="黑体" w:hAnsi="黑体" w:eastAsia="黑体"/>
          <w:b/>
          <w:sz w:val="72"/>
          <w:szCs w:val="72"/>
        </w:rPr>
      </w:pPr>
    </w:p>
    <w:p>
      <w:pPr>
        <w:pStyle w:val="4"/>
        <w:widowControl/>
        <w:bidi w:val="0"/>
        <w:jc w:val="center"/>
        <w:rPr>
          <w:rFonts w:ascii="黑体" w:hAnsi="黑体" w:eastAsia="黑体"/>
          <w:b/>
          <w:sz w:val="72"/>
          <w:szCs w:val="72"/>
        </w:rPr>
      </w:pPr>
    </w:p>
    <w:p>
      <w:pPr>
        <w:pStyle w:val="4"/>
        <w:widowControl/>
        <w:bidi w:val="0"/>
        <w:jc w:val="center"/>
        <w:rPr>
          <w:rFonts w:ascii="黑体" w:hAnsi="黑体" w:eastAsia="黑体"/>
          <w:b/>
          <w:sz w:val="72"/>
          <w:szCs w:val="72"/>
        </w:rPr>
      </w:pPr>
    </w:p>
    <w:p>
      <w:pPr>
        <w:pStyle w:val="4"/>
        <w:widowControl/>
        <w:bidi w:val="0"/>
        <w:jc w:val="center"/>
        <w:rPr>
          <w:rFonts w:ascii="黑体" w:hAnsi="黑体" w:eastAsia="黑体"/>
          <w:b/>
          <w:sz w:val="72"/>
          <w:szCs w:val="72"/>
        </w:rPr>
      </w:pPr>
    </w:p>
    <w:p>
      <w:pPr>
        <w:pStyle w:val="4"/>
        <w:widowControl/>
        <w:bidi w:val="0"/>
        <w:jc w:val="center"/>
        <w:rPr>
          <w:rFonts w:ascii="黑体" w:hAnsi="黑体" w:eastAsia="黑体"/>
          <w:b/>
          <w:sz w:val="72"/>
          <w:szCs w:val="72"/>
        </w:rPr>
      </w:pPr>
    </w:p>
    <w:p>
      <w:pPr>
        <w:pStyle w:val="4"/>
        <w:widowControl/>
        <w:bidi w:val="0"/>
        <w:jc w:val="center"/>
        <w:rPr>
          <w:rFonts w:ascii="黑体" w:hAnsi="黑体" w:eastAsia="黑体"/>
          <w:b/>
          <w:sz w:val="72"/>
          <w:szCs w:val="72"/>
        </w:rPr>
      </w:pPr>
    </w:p>
    <w:p>
      <w:pPr>
        <w:pStyle w:val="4"/>
        <w:widowControl/>
        <w:bidi w:val="0"/>
        <w:jc w:val="center"/>
        <w:rPr>
          <w:rFonts w:ascii="黑体" w:hAnsi="黑体" w:eastAsia="黑体"/>
          <w:b/>
          <w:sz w:val="72"/>
          <w:szCs w:val="72"/>
        </w:rPr>
      </w:pPr>
    </w:p>
    <w:p>
      <w:pPr>
        <w:pStyle w:val="4"/>
        <w:widowControl/>
        <w:bidi w:val="0"/>
        <w:jc w:val="center"/>
        <w:rPr>
          <w:rFonts w:ascii="黑体" w:hAnsi="黑体" w:eastAsia="黑体"/>
          <w:b/>
          <w:sz w:val="72"/>
          <w:szCs w:val="72"/>
        </w:rPr>
      </w:pPr>
    </w:p>
    <w:p>
      <w:pPr>
        <w:pStyle w:val="4"/>
        <w:widowControl/>
        <w:bidi w:val="0"/>
        <w:jc w:val="center"/>
        <w:rPr>
          <w:rFonts w:ascii="黑体" w:hAnsi="黑体" w:eastAsia="黑体"/>
          <w:b/>
          <w:sz w:val="72"/>
          <w:szCs w:val="72"/>
        </w:rPr>
      </w:pPr>
    </w:p>
    <w:p>
      <w:pPr>
        <w:pStyle w:val="4"/>
        <w:widowControl/>
        <w:bidi w:val="0"/>
        <w:jc w:val="center"/>
        <w:sectPr>
          <w:pgSz w:w="11906" w:h="16838"/>
          <w:pgMar w:top="2098" w:right="1474" w:bottom="1985" w:left="1588" w:header="0" w:footer="0" w:gutter="0"/>
          <w:pgNumType w:fmt="decimal"/>
          <w:cols w:space="720" w:num="1"/>
          <w:formProt w:val="0"/>
          <w:docGrid w:type="lines" w:linePitch="312" w:charSpace="43007"/>
        </w:sectPr>
      </w:pPr>
      <w:r>
        <w:rPr>
          <w:rFonts w:ascii="楷体" w:hAnsi="楷体" w:eastAsia="楷体" w:cs="楷体"/>
          <w:b/>
          <w:sz w:val="44"/>
          <w:szCs w:val="44"/>
        </w:rPr>
        <w:t>二〇一九年八月</w:t>
      </w:r>
    </w:p>
    <w:p>
      <w:pPr>
        <w:pStyle w:val="4"/>
        <w:widowControl/>
        <w:bidi w:val="0"/>
        <w:jc w:val="center"/>
        <w:rPr>
          <w:rFonts w:ascii="黑体" w:hAnsi="黑体" w:eastAsia="黑体" w:cs="黑体"/>
          <w:b/>
          <w:sz w:val="44"/>
          <w:szCs w:val="44"/>
        </w:rPr>
      </w:pPr>
      <w:r>
        <w:drawing>
          <wp:inline distT="0" distB="0" distL="0" distR="0">
            <wp:extent cx="5616575" cy="9984740"/>
            <wp:effectExtent l="0" t="0" r="0" b="0"/>
            <wp:docPr id="3" name="图片框 1027"/>
            <wp:cNvGraphicFramePr/>
            <a:graphic xmlns:a="http://schemas.openxmlformats.org/drawingml/2006/main">
              <a:graphicData uri="http://schemas.openxmlformats.org/drawingml/2006/picture">
                <pic:pic xmlns:pic="http://schemas.openxmlformats.org/drawingml/2006/picture">
                  <pic:nvPicPr>
                    <pic:cNvPr id="3" name="图片框 1027"/>
                    <pic:cNvPicPr/>
                  </pic:nvPicPr>
                  <pic:blipFill>
                    <a:blip r:embed="rId5"/>
                    <a:stretch>
                      <a:fillRect/>
                    </a:stretch>
                  </pic:blipFill>
                  <pic:spPr>
                    <a:xfrm>
                      <a:off x="0" y="0"/>
                      <a:ext cx="5616000" cy="9984240"/>
                    </a:xfrm>
                    <a:prstGeom prst="rect">
                      <a:avLst/>
                    </a:prstGeom>
                    <a:ln w="0">
                      <a:noFill/>
                    </a:ln>
                  </pic:spPr>
                </pic:pic>
              </a:graphicData>
            </a:graphic>
          </wp:inline>
        </w:drawing>
      </w:r>
    </w:p>
    <w:p>
      <w:pPr>
        <w:pStyle w:val="4"/>
        <w:bidi w:val="0"/>
        <w:spacing w:beforeLines="200" w:beforeAutospacing="0" w:after="0" w:afterAutospacing="0" w:line="1000" w:lineRule="exact"/>
        <w:jc w:val="center"/>
        <w:rPr>
          <w:rFonts w:ascii="黑体" w:hAnsi="黑体" w:eastAsia="黑体"/>
          <w:sz w:val="48"/>
          <w:szCs w:val="48"/>
        </w:rPr>
      </w:pPr>
      <w:r>
        <mc:AlternateContent>
          <mc:Choice Requires="wpg">
            <w:drawing>
              <wp:anchor distT="0" distB="0" distL="114300" distR="114300" simplePos="0" relativeHeight="1024" behindDoc="1" locked="0" layoutInCell="0" allowOverlap="1">
                <wp:simplePos x="0" y="0"/>
                <wp:positionH relativeFrom="column">
                  <wp:posOffset>-1023620</wp:posOffset>
                </wp:positionH>
                <wp:positionV relativeFrom="page">
                  <wp:posOffset>508000</wp:posOffset>
                </wp:positionV>
                <wp:extent cx="3176270" cy="593725"/>
                <wp:effectExtent l="0" t="0" r="0" b="0"/>
                <wp:wrapNone/>
                <wp:docPr id="4" name="组合 1028"/>
                <wp:cNvGraphicFramePr/>
                <a:graphic xmlns:a="http://schemas.openxmlformats.org/drawingml/2006/main">
                  <a:graphicData uri="http://schemas.microsoft.com/office/word/2010/wordprocessingGroup">
                    <wpg:wgp>
                      <wpg:cNvGrpSpPr/>
                      <wpg:grpSpPr>
                        <a:xfrm>
                          <a:off x="0" y="0"/>
                          <a:ext cx="3175560" cy="592920"/>
                          <a:chOff x="0" y="0"/>
                          <a:chExt cx="3175560" cy="592920"/>
                        </a:xfrm>
                      </wpg:grpSpPr>
                      <wps:wsp>
                        <wps:cNvPr id="5" name="矩形 5"/>
                        <wps:cNvSpPr/>
                        <wps:spPr>
                          <a:xfrm>
                            <a:off x="0" y="0"/>
                            <a:ext cx="3175560" cy="498600"/>
                          </a:xfrm>
                          <a:prstGeom prst="rect">
                            <a:avLst/>
                          </a:prstGeom>
                          <a:solidFill>
                            <a:srgbClr val="D8D8D8"/>
                          </a:solidFill>
                          <a:ln w="0">
                            <a:noFill/>
                          </a:ln>
                        </wps:spPr>
                        <wps:bodyPr/>
                      </wps:wsp>
                      <wps:wsp>
                        <wps:cNvPr id="6" name="文本框 6"/>
                        <wps:cNvSpPr txBox="true"/>
                        <wps:spPr>
                          <a:xfrm>
                            <a:off x="9360" y="117000"/>
                            <a:ext cx="3093120" cy="476280"/>
                          </a:xfrm>
                          <a:prstGeom prst="rect">
                            <a:avLst/>
                          </a:prstGeom>
                          <a:solidFill>
                            <a:srgbClr val="AD002D"/>
                          </a:solidFill>
                          <a:ln w="25560">
                            <a:solidFill>
                              <a:srgbClr val="AF7621"/>
                            </a:solidFill>
                            <a:round/>
                          </a:ln>
                        </wps:spPr>
                        <wps:txb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6"/>
                                  <w:szCs w:val="20"/>
                                </w:rPr>
                                <w:t>2018年度部门决算☞目 录</w:t>
                              </w:r>
                            </w:p>
                            <w:p>
                              <w:pPr>
                                <w:overflowPunct w:val="0"/>
                                <w:bidi w:val="0"/>
                                <w:spacing w:beforeLines="0" w:beforeAutospacing="0" w:afterLines="0" w:afterAutospacing="0" w:line="240" w:lineRule="auto"/>
                                <w:jc w:val="center"/>
                              </w:pPr>
                            </w:p>
                          </w:txbxContent>
                        </wps:txbx>
                        <wps:bodyPr wrap="square">
                          <a:noAutofit/>
                        </wps:bodyPr>
                      </wps:wsp>
                    </wpg:wgp>
                  </a:graphicData>
                </a:graphic>
              </wp:anchor>
            </w:drawing>
          </mc:Choice>
          <mc:Fallback>
            <w:pict>
              <v:group id="组合 1028" o:spid="_x0000_s1026" o:spt="203" style="position:absolute;left:0pt;margin-left:-80.6pt;margin-top:40pt;height:46.75pt;width:250.1pt;mso-position-vertical-relative:page;z-index:-503315456;mso-width-relative:page;mso-height-relative:page;" coordsize="3175560,592920" o:allowincell="f" o:gfxdata="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9ZIbA9oAAAALAQAADwAA&#10;AAAAAAABACAAAAA4AAAAZHJzL2Rvd25yZXYueG1sUEsBAhQAFAAAAAgAh07iQM1FTuhwAgAAOgYA&#10;AA4AAAAAAAAAAQAgAAAAPwEAAGRycy9lMm9Eb2MueG1sUEsFBgAAAAAGAAYAWQEAACEGAAAAAA==&#10;">
                <o:lock v:ext="edit" aspectratio="f"/>
                <v:rect id="_x0000_s1026" o:spid="_x0000_s1026" o:spt="1" style="position:absolute;left:0;top:0;height:498600;width:3175560;" fillcolor="#D8D8D8" filled="t" stroked="f" coordsize="21600,21600" o:gfxdata="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Sw6DO7AAAA2gAAAA8AAAAAAAAAAQAgAAAAOAAAAGRycy9kb3ducmV2Lnht&#10;bFBLAQIUABQAAAAIAIdO4kAzLwWeOwAAADkAAAAQAAAAAAAAAAEAIAAAACABAABkcnMvc2hhcGV4&#10;bWwueG1sUEsFBgAAAAAGAAYAWwEAAMoDAAAAAA==&#10;">
                  <v:fill on="t" focussize="0,0"/>
                  <v:stroke on="f" weight="0pt"/>
                  <v:imagedata o:title=""/>
                  <o:lock v:ext="edit" aspectratio="f"/>
                </v:rect>
                <v:shape id="_x0000_s1026" o:spid="_x0000_s1026" o:spt="202" type="#_x0000_t202" style="position:absolute;left:9360;top:117000;height:476280;width:3093120;" fillcolor="#AD002D" filled="t" stroked="t" coordsize="21600,21600" o:gfxdata="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GLDN70AAADaAAAADwAAAAAAAAABACAAAAA4AAAAZHJzL2Rvd25yZXYu&#10;eG1sUEsBAhQAFAAAAAgAh07iQDMvBZ47AAAAOQAAABAAAAAAAAAAAQAgAAAAIgEAAGRycy9zaGFw&#10;ZXhtbC54bWxQSwUGAAAAAAYABgBbAQAAzAMAAAAA&#10;">
                  <v:fill on="t" focussize="0,0"/>
                  <v:stroke weight="2.01259842519685pt" color="#AF7621" joinstyle="round"/>
                  <v:imagedata o:title=""/>
                  <o:lock v:ext="edit" aspectratio="f"/>
                  <v:textbo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6"/>
                            <w:szCs w:val="20"/>
                          </w:rPr>
                          <w:t>2018年度部门决算☞目 录</w:t>
                        </w:r>
                      </w:p>
                      <w:p>
                        <w:pPr>
                          <w:overflowPunct w:val="0"/>
                          <w:bidi w:val="0"/>
                          <w:spacing w:beforeLines="0" w:beforeAutospacing="0" w:afterLines="0" w:afterAutospacing="0" w:line="240" w:lineRule="auto"/>
                          <w:jc w:val="center"/>
                        </w:pPr>
                      </w:p>
                    </w:txbxContent>
                  </v:textbox>
                </v:shape>
              </v:group>
            </w:pict>
          </mc:Fallback>
        </mc:AlternateContent>
      </w:r>
      <w:r>
        <w:rPr>
          <w:rFonts w:ascii="黑体" w:hAnsi="黑体" w:eastAsia="黑体"/>
          <w:sz w:val="48"/>
          <w:szCs w:val="48"/>
        </w:rPr>
        <w:t>目    录</w:t>
      </w:r>
    </w:p>
    <w:p>
      <w:pPr>
        <w:pStyle w:val="4"/>
        <w:widowControl/>
        <w:bidi w:val="0"/>
        <w:spacing w:line="580" w:lineRule="exact"/>
        <w:ind w:firstLine="640" w:firstLineChars="200"/>
        <w:rPr>
          <w:rFonts w:eastAsia="黑体"/>
          <w:sz w:val="32"/>
          <w:szCs w:val="32"/>
        </w:rPr>
      </w:pPr>
    </w:p>
    <w:p>
      <w:pPr>
        <w:pStyle w:val="4"/>
        <w:widowControl/>
        <w:bidi w:val="0"/>
        <w:spacing w:line="580" w:lineRule="exact"/>
        <w:ind w:firstLine="640" w:firstLineChars="200"/>
        <w:rPr>
          <w:rFonts w:eastAsia="仿宋_GB2312"/>
          <w:sz w:val="24"/>
          <w:szCs w:val="32"/>
        </w:rPr>
      </w:pPr>
      <w:r>
        <w:rPr>
          <w:rFonts w:eastAsia="黑体"/>
          <w:sz w:val="32"/>
          <w:szCs w:val="32"/>
        </w:rPr>
        <w:t>第一部分   部门概况</w:t>
      </w:r>
      <w:r>
        <w:rPr>
          <w:rFonts w:eastAsia="仿宋_GB2312"/>
          <w:sz w:val="28"/>
          <w:szCs w:val="36"/>
        </w:rPr>
        <w:t xml:space="preserve"> </w:t>
      </w:r>
      <w:r>
        <w:rPr>
          <w:rFonts w:eastAsia="仿宋_GB2312"/>
          <w:sz w:val="24"/>
          <w:szCs w:val="32"/>
        </w:rPr>
        <w:t xml:space="preserve"> </w:t>
      </w:r>
    </w:p>
    <w:p>
      <w:pPr>
        <w:pStyle w:val="8"/>
        <w:widowControl/>
        <w:numPr>
          <w:ilvl w:val="0"/>
          <w:numId w:val="1"/>
        </w:numPr>
        <w:bidi w:val="0"/>
        <w:spacing w:line="580" w:lineRule="exact"/>
        <w:rPr>
          <w:rFonts w:eastAsia="仿宋_GB2312"/>
          <w:sz w:val="32"/>
          <w:szCs w:val="32"/>
        </w:rPr>
      </w:pPr>
      <w:r>
        <w:rPr>
          <w:rFonts w:eastAsia="仿宋_GB2312"/>
          <w:sz w:val="32"/>
          <w:szCs w:val="32"/>
        </w:rPr>
        <w:t>部门职责</w:t>
      </w:r>
    </w:p>
    <w:p>
      <w:pPr>
        <w:pStyle w:val="4"/>
        <w:widowControl/>
        <w:bidi w:val="0"/>
        <w:spacing w:line="580" w:lineRule="exact"/>
        <w:ind w:firstLine="1280" w:firstLineChars="400"/>
        <w:rPr>
          <w:rFonts w:eastAsia="仿宋_GB2312"/>
          <w:sz w:val="32"/>
          <w:szCs w:val="32"/>
        </w:rPr>
      </w:pPr>
      <w:r>
        <w:rPr>
          <w:rFonts w:eastAsia="仿宋_GB2312"/>
          <w:sz w:val="32"/>
          <w:szCs w:val="32"/>
        </w:rPr>
        <w:t>二、机构设置</w:t>
      </w:r>
    </w:p>
    <w:p>
      <w:pPr>
        <w:pStyle w:val="4"/>
        <w:widowControl/>
        <w:bidi w:val="0"/>
        <w:spacing w:line="580" w:lineRule="exact"/>
        <w:rPr>
          <w:rFonts w:eastAsia="仿宋_GB2312"/>
          <w:sz w:val="20"/>
          <w:szCs w:val="32"/>
        </w:rPr>
      </w:pPr>
      <w:r>
        <w:rPr>
          <w:rFonts w:eastAsia="仿宋_GB2312"/>
          <w:sz w:val="32"/>
          <w:szCs w:val="32"/>
        </w:rPr>
        <w:t xml:space="preserve">    </w:t>
      </w:r>
      <w:r>
        <w:rPr>
          <w:rFonts w:eastAsia="黑体"/>
          <w:sz w:val="32"/>
          <w:szCs w:val="32"/>
        </w:rPr>
        <w:t>第二部分   2018年度部门决算报表</w:t>
      </w:r>
    </w:p>
    <w:p>
      <w:pPr>
        <w:pStyle w:val="4"/>
        <w:widowControl/>
        <w:bidi w:val="0"/>
        <w:spacing w:line="580" w:lineRule="exact"/>
        <w:ind w:left="640" w:firstLine="640" w:firstLineChars="200"/>
        <w:rPr>
          <w:rFonts w:eastAsia="仿宋_GB2312"/>
          <w:sz w:val="32"/>
          <w:szCs w:val="32"/>
        </w:rPr>
      </w:pPr>
      <w:r>
        <w:rPr>
          <w:rFonts w:eastAsia="仿宋_GB2312"/>
          <w:sz w:val="32"/>
          <w:szCs w:val="32"/>
        </w:rPr>
        <w:t>一、收入支出决算总表</w:t>
      </w:r>
    </w:p>
    <w:p>
      <w:pPr>
        <w:pStyle w:val="4"/>
        <w:widowControl/>
        <w:bidi w:val="0"/>
        <w:spacing w:line="580" w:lineRule="exact"/>
        <w:ind w:left="640" w:firstLine="640" w:firstLineChars="200"/>
        <w:rPr>
          <w:rFonts w:eastAsia="仿宋_GB2312"/>
          <w:sz w:val="32"/>
          <w:szCs w:val="32"/>
        </w:rPr>
      </w:pPr>
      <w:r>
        <w:rPr>
          <w:rFonts w:eastAsia="仿宋_GB2312"/>
          <w:sz w:val="32"/>
          <w:szCs w:val="32"/>
        </w:rPr>
        <w:t>二、收入决算表</w:t>
      </w:r>
    </w:p>
    <w:p>
      <w:pPr>
        <w:pStyle w:val="4"/>
        <w:widowControl/>
        <w:bidi w:val="0"/>
        <w:spacing w:line="580" w:lineRule="exact"/>
        <w:ind w:left="640" w:firstLine="640" w:firstLineChars="200"/>
        <w:rPr>
          <w:rFonts w:eastAsia="仿宋_GB2312"/>
          <w:sz w:val="32"/>
          <w:szCs w:val="32"/>
        </w:rPr>
      </w:pPr>
      <w:r>
        <w:rPr>
          <w:rFonts w:eastAsia="仿宋_GB2312"/>
          <w:sz w:val="32"/>
          <w:szCs w:val="32"/>
        </w:rPr>
        <w:t>三、支出决算表</w:t>
      </w:r>
    </w:p>
    <w:p>
      <w:pPr>
        <w:pStyle w:val="4"/>
        <w:widowControl/>
        <w:bidi w:val="0"/>
        <w:spacing w:line="580" w:lineRule="exact"/>
        <w:ind w:left="640" w:firstLine="640" w:firstLineChars="200"/>
        <w:rPr>
          <w:rFonts w:eastAsia="仿宋_GB2312"/>
          <w:sz w:val="32"/>
          <w:szCs w:val="32"/>
        </w:rPr>
      </w:pPr>
      <w:r>
        <w:rPr>
          <w:rFonts w:eastAsia="仿宋_GB2312"/>
          <w:sz w:val="32"/>
          <w:szCs w:val="32"/>
        </w:rPr>
        <w:t>四、财政拨款收入支出决算总表</w:t>
      </w:r>
    </w:p>
    <w:p>
      <w:pPr>
        <w:pStyle w:val="4"/>
        <w:widowControl/>
        <w:bidi w:val="0"/>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pStyle w:val="4"/>
        <w:widowControl/>
        <w:bidi w:val="0"/>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pStyle w:val="4"/>
        <w:widowControl/>
        <w:bidi w:val="0"/>
        <w:spacing w:line="580" w:lineRule="exact"/>
        <w:ind w:left="640" w:firstLine="640" w:firstLineChars="200"/>
        <w:rPr>
          <w:rFonts w:eastAsia="仿宋_GB2312"/>
          <w:sz w:val="32"/>
          <w:szCs w:val="32"/>
        </w:rPr>
      </w:pPr>
      <w:r>
        <w:rPr>
          <w:rFonts w:eastAsia="仿宋_GB2312"/>
          <w:sz w:val="32"/>
          <w:szCs w:val="32"/>
        </w:rPr>
        <w:t>七、一般公共预算财政拨款“三公”经费支出决算表</w:t>
      </w:r>
    </w:p>
    <w:p>
      <w:pPr>
        <w:pStyle w:val="4"/>
        <w:widowControl/>
        <w:bidi w:val="0"/>
        <w:spacing w:line="580" w:lineRule="exact"/>
        <w:ind w:left="640" w:firstLine="640" w:firstLineChars="200"/>
        <w:rPr>
          <w:rFonts w:eastAsia="仿宋_GB2312"/>
          <w:sz w:val="32"/>
          <w:szCs w:val="32"/>
        </w:rPr>
      </w:pPr>
      <w:r>
        <w:rPr>
          <w:rFonts w:eastAsia="仿宋_GB2312"/>
          <w:sz w:val="32"/>
          <w:szCs w:val="32"/>
        </w:rPr>
        <w:t>八、政府性基金预算财政拨款收入支出决算表</w:t>
      </w:r>
    </w:p>
    <w:p>
      <w:pPr>
        <w:pStyle w:val="4"/>
        <w:widowControl/>
        <w:bidi w:val="0"/>
        <w:spacing w:line="580" w:lineRule="exact"/>
        <w:ind w:left="640" w:firstLine="640" w:firstLineChars="200"/>
        <w:rPr>
          <w:rFonts w:eastAsia="仿宋_GB2312"/>
          <w:sz w:val="32"/>
          <w:szCs w:val="32"/>
        </w:rPr>
      </w:pPr>
      <w:r>
        <w:rPr>
          <w:rFonts w:eastAsia="仿宋_GB2312"/>
          <w:sz w:val="32"/>
          <w:szCs w:val="32"/>
        </w:rPr>
        <w:t>九、国有资本经营预算支出决算表</w:t>
      </w:r>
    </w:p>
    <w:p>
      <w:pPr>
        <w:pStyle w:val="4"/>
        <w:widowControl/>
        <w:bidi w:val="0"/>
        <w:spacing w:line="580" w:lineRule="exact"/>
        <w:ind w:left="640" w:firstLine="640" w:firstLineChars="200"/>
        <w:rPr>
          <w:rFonts w:eastAsia="仿宋_GB2312"/>
          <w:sz w:val="32"/>
          <w:szCs w:val="32"/>
        </w:rPr>
      </w:pPr>
      <w:r>
        <w:rPr>
          <w:rFonts w:eastAsia="仿宋_GB2312"/>
          <w:sz w:val="32"/>
          <w:szCs w:val="32"/>
        </w:rPr>
        <w:t>十、政府采购情况表</w:t>
      </w:r>
    </w:p>
    <w:p>
      <w:pPr>
        <w:pStyle w:val="4"/>
        <w:widowControl/>
        <w:bidi w:val="0"/>
        <w:spacing w:line="580" w:lineRule="exact"/>
        <w:ind w:firstLine="640" w:firstLineChars="200"/>
        <w:rPr>
          <w:rFonts w:eastAsia="黑体"/>
          <w:sz w:val="32"/>
          <w:szCs w:val="32"/>
        </w:rPr>
      </w:pPr>
    </w:p>
    <w:p>
      <w:pPr>
        <w:pStyle w:val="4"/>
        <w:widowControl/>
        <w:bidi w:val="0"/>
        <w:spacing w:line="580" w:lineRule="exact"/>
        <w:ind w:firstLine="640" w:firstLineChars="200"/>
        <w:rPr>
          <w:rFonts w:eastAsia="黑体"/>
          <w:sz w:val="32"/>
          <w:szCs w:val="32"/>
        </w:rPr>
      </w:pPr>
      <w:r>
        <w:rPr>
          <w:rFonts w:eastAsia="黑体"/>
          <w:sz w:val="32"/>
          <w:szCs w:val="32"/>
        </w:rPr>
        <w:t>第三部分 唐山市工商行政管理局2018</w:t>
      </w:r>
      <w:r>
        <w:rPr>
          <w:rFonts w:eastAsia="黑体"/>
          <w:sz w:val="32"/>
          <w:szCs w:val="32"/>
        </w:rPr>
        <mc:AlternateContent>
          <mc:Choice Requires="wpg">
            <w:drawing>
              <wp:anchor distT="0" distB="0" distL="114300" distR="114300" simplePos="0" relativeHeight="1024" behindDoc="1" locked="0" layoutInCell="0" allowOverlap="1">
                <wp:simplePos x="0" y="0"/>
                <wp:positionH relativeFrom="column">
                  <wp:posOffset>-1023620</wp:posOffset>
                </wp:positionH>
                <wp:positionV relativeFrom="page">
                  <wp:posOffset>494665</wp:posOffset>
                </wp:positionV>
                <wp:extent cx="2830195" cy="593725"/>
                <wp:effectExtent l="0" t="0" r="0" b="0"/>
                <wp:wrapNone/>
                <wp:docPr id="7" name="组合 1031"/>
                <wp:cNvGraphicFramePr/>
                <a:graphic xmlns:a="http://schemas.openxmlformats.org/drawingml/2006/main">
                  <a:graphicData uri="http://schemas.microsoft.com/office/word/2010/wordprocessingGroup">
                    <wpg:wgp>
                      <wpg:cNvGrpSpPr/>
                      <wpg:grpSpPr>
                        <a:xfrm>
                          <a:off x="0" y="0"/>
                          <a:ext cx="2829600" cy="592920"/>
                          <a:chOff x="0" y="0"/>
                          <a:chExt cx="2829600" cy="592920"/>
                        </a:xfrm>
                      </wpg:grpSpPr>
                      <wps:wsp>
                        <wps:cNvPr id="8" name="矩形 8"/>
                        <wps:cNvSpPr/>
                        <wps:spPr>
                          <a:xfrm>
                            <a:off x="0" y="0"/>
                            <a:ext cx="2829600" cy="498600"/>
                          </a:xfrm>
                          <a:prstGeom prst="rect">
                            <a:avLst/>
                          </a:prstGeom>
                          <a:solidFill>
                            <a:srgbClr val="D8D8D8"/>
                          </a:solidFill>
                          <a:ln w="0">
                            <a:noFill/>
                          </a:ln>
                        </wps:spPr>
                        <wps:bodyPr/>
                      </wps:wsp>
                      <wps:wsp>
                        <wps:cNvPr id="9" name="文本框 9"/>
                        <wps:cNvSpPr txBox="true"/>
                        <wps:spPr>
                          <a:xfrm>
                            <a:off x="9000" y="117000"/>
                            <a:ext cx="2755800" cy="476280"/>
                          </a:xfrm>
                          <a:prstGeom prst="rect">
                            <a:avLst/>
                          </a:prstGeom>
                          <a:solidFill>
                            <a:srgbClr val="AD002D"/>
                          </a:solidFill>
                          <a:ln w="25560">
                            <a:solidFill>
                              <a:srgbClr val="AF7621"/>
                            </a:solidFill>
                            <a:round/>
                          </a:ln>
                        </wps:spPr>
                        <wps:txb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2018年度部门决算☞目 录</w:t>
                              </w:r>
                            </w:p>
                            <w:p>
                              <w:pPr>
                                <w:overflowPunct w:val="0"/>
                                <w:bidi w:val="0"/>
                                <w:spacing w:beforeLines="0" w:beforeAutospacing="0" w:afterLines="0" w:afterAutospacing="0" w:line="240" w:lineRule="auto"/>
                                <w:jc w:val="center"/>
                              </w:pPr>
                            </w:p>
                          </w:txbxContent>
                        </wps:txbx>
                        <wps:bodyPr wrap="square">
                          <a:noAutofit/>
                        </wps:bodyPr>
                      </wps:wsp>
                    </wpg:wgp>
                  </a:graphicData>
                </a:graphic>
              </wp:anchor>
            </w:drawing>
          </mc:Choice>
          <mc:Fallback>
            <w:pict>
              <v:group id="组合 1031" o:spid="_x0000_s1026" o:spt="203" style="position:absolute;left:0pt;margin-left:-80.6pt;margin-top:38.95pt;height:46.75pt;width:222.85pt;mso-position-vertical-relative:page;z-index:-503315456;mso-width-relative:page;mso-height-relative:page;" coordsize="2829600,592920" o:allowincell="f" o:gfxdata="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A/ky5DbAAAA&#10;CwEAAA8AAAAAAAAAAQAgAAAAOAAAAGRycy9kb3ducmV2LnhtbFBLAQIUABQAAAAIAIdO4kB0E6LN&#10;dgIAADoGAAAOAAAAAAAAAAEAIAAAAEABAABkcnMvZTJvRG9jLnhtbFBLBQYAAAAABgAGAFkBAAAo&#10;BgAAAAA=&#10;">
                <o:lock v:ext="edit" aspectratio="f"/>
                <v:rect id="_x0000_s1026" o:spid="_x0000_s1026" o:spt="1" style="position:absolute;left:0;top:0;height:498600;width:2829600;" fillcolor="#D8D8D8" filled="t" stroked="f" coordsize="21600,21600" o:gfxdata="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6sUetuQAAANoAAAAPAAAAAAAAAAEAIAAAADgAAABkcnMvZG93bnJldi54bWxQ&#10;SwECFAAUAAAACACHTuJAMy8FnjsAAAA5AAAAEAAAAAAAAAABACAAAAAeAQAAZHJzL3NoYXBleG1s&#10;LnhtbFBLBQYAAAAABgAGAFsBAADIAwAAAAA=&#10;">
                  <v:fill on="t" focussize="0,0"/>
                  <v:stroke on="f" weight="0pt"/>
                  <v:imagedata o:title=""/>
                  <o:lock v:ext="edit" aspectratio="f"/>
                </v:rect>
                <v:shape id="_x0000_s1026" o:spid="_x0000_s1026" o:spt="202" type="#_x0000_t202" style="position:absolute;left:9000;top:117000;height:476280;width:2755800;" fillcolor="#AD002D" filled="t" stroked="t" coordsize="21600,21600" o:gfxdata="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n9V0W+AAAA2gAAAA8AAAAAAAAAAQAgAAAAOAAAAGRycy9kb3ducmV2&#10;LnhtbFBLAQIUABQAAAAIAIdO4kAzLwWeOwAAADkAAAAQAAAAAAAAAAEAIAAAACMBAABkcnMvc2hh&#10;cGV4bWwueG1sUEsFBgAAAAAGAAYAWwEAAM0DAAAAAA==&#10;">
                  <v:fill on="t" focussize="0,0"/>
                  <v:stroke weight="2.01259842519685pt" color="#AF7621" joinstyle="round"/>
                  <v:imagedata o:title=""/>
                  <o:lock v:ext="edit" aspectratio="f"/>
                  <v:textbo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2018年度部门决算☞目 录</w:t>
                        </w:r>
                      </w:p>
                      <w:p>
                        <w:pPr>
                          <w:overflowPunct w:val="0"/>
                          <w:bidi w:val="0"/>
                          <w:spacing w:beforeLines="0" w:beforeAutospacing="0" w:afterLines="0" w:afterAutospacing="0" w:line="240" w:lineRule="auto"/>
                          <w:jc w:val="center"/>
                        </w:pPr>
                      </w:p>
                    </w:txbxContent>
                  </v:textbox>
                </v:shape>
              </v:group>
            </w:pict>
          </mc:Fallback>
        </mc:AlternateContent>
      </w:r>
      <w:r>
        <w:rPr>
          <w:rFonts w:eastAsia="黑体"/>
          <w:sz w:val="32"/>
          <w:szCs w:val="32"/>
        </w:rPr>
        <w:t>年部门决算情况说明</w:t>
      </w:r>
    </w:p>
    <w:p>
      <w:pPr>
        <w:pStyle w:val="4"/>
        <w:widowControl/>
        <w:bidi w:val="0"/>
        <w:spacing w:line="580" w:lineRule="exact"/>
        <w:ind w:left="640" w:firstLine="640" w:firstLineChars="200"/>
        <w:rPr>
          <w:rFonts w:eastAsia="仿宋_GB2312"/>
          <w:sz w:val="32"/>
          <w:szCs w:val="32"/>
        </w:rPr>
      </w:pPr>
      <w:r>
        <w:rPr>
          <w:rFonts w:eastAsia="仿宋_GB2312"/>
          <w:sz w:val="32"/>
          <w:szCs w:val="32"/>
        </w:rPr>
        <w:t>一、收入支出决算总体情况说明</w:t>
      </w:r>
    </w:p>
    <w:p>
      <w:pPr>
        <w:pStyle w:val="4"/>
        <w:widowControl/>
        <w:bidi w:val="0"/>
        <w:spacing w:line="580" w:lineRule="exact"/>
        <w:ind w:left="640" w:firstLine="640" w:firstLineChars="200"/>
        <w:rPr>
          <w:rFonts w:eastAsia="仿宋_GB2312"/>
          <w:sz w:val="32"/>
          <w:szCs w:val="32"/>
        </w:rPr>
      </w:pPr>
      <w:r>
        <w:rPr>
          <w:rFonts w:eastAsia="仿宋_GB2312"/>
          <w:sz w:val="32"/>
          <w:szCs w:val="32"/>
        </w:rPr>
        <w:t>二、收入决算情况说明</w:t>
      </w:r>
    </w:p>
    <w:p>
      <w:pPr>
        <w:pStyle w:val="4"/>
        <w:widowControl/>
        <w:bidi w:val="0"/>
        <w:spacing w:line="580" w:lineRule="exact"/>
        <w:ind w:left="640" w:firstLine="640" w:firstLineChars="200"/>
        <w:rPr>
          <w:rFonts w:eastAsia="仿宋_GB2312"/>
          <w:sz w:val="32"/>
          <w:szCs w:val="32"/>
        </w:rPr>
      </w:pPr>
      <w:r>
        <w:rPr>
          <w:rFonts w:eastAsia="仿宋_GB2312"/>
          <w:sz w:val="32"/>
          <w:szCs w:val="32"/>
        </w:rPr>
        <w:t>三、支出决算情况说明</w:t>
      </w:r>
    </w:p>
    <w:p>
      <w:pPr>
        <w:pStyle w:val="4"/>
        <w:widowControl/>
        <w:bidi w:val="0"/>
        <w:spacing w:line="580" w:lineRule="exact"/>
        <w:ind w:left="640" w:firstLine="640" w:firstLineChars="200"/>
        <w:rPr>
          <w:rFonts w:eastAsia="仿宋_GB2312"/>
          <w:sz w:val="32"/>
          <w:szCs w:val="32"/>
        </w:rPr>
      </w:pPr>
      <w:r>
        <w:rPr>
          <w:rFonts w:eastAsia="仿宋_GB2312"/>
          <w:sz w:val="32"/>
          <w:szCs w:val="32"/>
        </w:rPr>
        <w:t>四、财政拨款收入支出决算总体情况说明</w:t>
      </w:r>
    </w:p>
    <w:p>
      <w:pPr>
        <w:pStyle w:val="4"/>
        <w:widowControl/>
        <w:bidi w:val="0"/>
        <w:spacing w:line="580" w:lineRule="exact"/>
        <w:ind w:left="640" w:firstLine="640" w:firstLineChars="200"/>
        <w:rPr>
          <w:rFonts w:eastAsia="仿宋_GB2312"/>
          <w:sz w:val="32"/>
          <w:szCs w:val="32"/>
        </w:rPr>
      </w:pPr>
      <w:r>
        <w:rPr>
          <w:rFonts w:eastAsia="仿宋_GB2312"/>
          <w:sz w:val="32"/>
          <w:szCs w:val="32"/>
        </w:rPr>
        <w:t>五、一般公共预算“三公”经费支出决算情况说明</w:t>
      </w:r>
    </w:p>
    <w:p>
      <w:pPr>
        <w:pStyle w:val="4"/>
        <w:widowControl/>
        <w:bidi w:val="0"/>
        <w:spacing w:line="580" w:lineRule="exact"/>
        <w:ind w:left="640" w:firstLine="640" w:firstLineChars="200"/>
        <w:rPr>
          <w:rFonts w:eastAsia="仿宋_GB2312"/>
          <w:sz w:val="32"/>
          <w:szCs w:val="32"/>
        </w:rPr>
      </w:pPr>
      <w:r>
        <w:rPr>
          <w:rFonts w:eastAsia="仿宋_GB2312"/>
          <w:sz w:val="32"/>
          <w:szCs w:val="32"/>
        </w:rPr>
        <w:t>六、预算绩效情况说明</w:t>
      </w:r>
    </w:p>
    <w:p>
      <w:pPr>
        <w:pStyle w:val="4"/>
        <w:widowControl/>
        <w:bidi w:val="0"/>
        <w:spacing w:line="580" w:lineRule="exact"/>
        <w:ind w:left="640" w:firstLine="640" w:firstLineChars="200"/>
        <w:rPr>
          <w:rFonts w:eastAsia="仿宋_GB2312"/>
          <w:sz w:val="32"/>
          <w:szCs w:val="32"/>
        </w:rPr>
      </w:pPr>
      <w:r>
        <w:rPr>
          <w:rFonts w:eastAsia="仿宋_GB2312"/>
          <w:sz w:val="32"/>
          <w:szCs w:val="32"/>
        </w:rPr>
        <w:t>七、其他重要事项的说明</w:t>
      </w:r>
    </w:p>
    <w:p>
      <w:pPr>
        <w:pStyle w:val="4"/>
        <w:widowControl/>
        <w:bidi w:val="0"/>
        <w:spacing w:line="580" w:lineRule="exact"/>
        <w:ind w:firstLine="640" w:firstLineChars="200"/>
        <w:rPr>
          <w:rFonts w:eastAsia="黑体"/>
          <w:sz w:val="32"/>
          <w:szCs w:val="32"/>
        </w:rPr>
      </w:pPr>
      <w:r>
        <w:rPr>
          <w:rFonts w:eastAsia="黑体"/>
          <w:sz w:val="32"/>
          <w:szCs w:val="32"/>
        </w:rPr>
        <w:t>第四部分  名词解释</w:t>
      </w:r>
    </w:p>
    <w:p>
      <w:pPr>
        <w:pStyle w:val="4"/>
        <w:widowControl/>
        <w:bidi w:val="0"/>
        <w:spacing w:line="580" w:lineRule="exact"/>
        <w:ind w:firstLine="640" w:firstLineChars="200"/>
        <w:rPr>
          <w:rFonts w:eastAsia="黑体"/>
          <w:sz w:val="32"/>
          <w:szCs w:val="32"/>
        </w:rPr>
      </w:pPr>
    </w:p>
    <w:p>
      <w:pPr>
        <w:pStyle w:val="4"/>
        <w:widowControl/>
        <w:bidi w:val="0"/>
        <w:spacing w:line="580" w:lineRule="exact"/>
        <w:ind w:firstLine="640" w:firstLineChars="200"/>
        <w:rPr>
          <w:rFonts w:eastAsia="黑体"/>
          <w:sz w:val="32"/>
          <w:szCs w:val="32"/>
        </w:rPr>
      </w:pPr>
    </w:p>
    <w:p>
      <w:pPr>
        <w:pStyle w:val="4"/>
        <w:widowControl/>
        <w:bidi w:val="0"/>
        <w:spacing w:line="580" w:lineRule="exact"/>
        <w:ind w:firstLine="640" w:firstLineChars="200"/>
        <w:rPr>
          <w:rFonts w:eastAsia="黑体"/>
          <w:sz w:val="32"/>
          <w:szCs w:val="32"/>
        </w:rPr>
      </w:pPr>
    </w:p>
    <w:p>
      <w:pPr>
        <w:pStyle w:val="4"/>
        <w:widowControl/>
        <w:bidi w:val="0"/>
        <w:spacing w:line="580" w:lineRule="exact"/>
        <w:ind w:firstLine="420" w:firstLineChars="200"/>
        <w:rPr>
          <w:rFonts w:eastAsia="黑体"/>
          <w:sz w:val="32"/>
          <w:szCs w:val="32"/>
        </w:rPr>
      </w:pPr>
      <w:r>
        <w:br w:type="page"/>
      </w:r>
    </w:p>
    <w:p>
      <w:pPr>
        <w:pStyle w:val="4"/>
        <w:bidi w:val="0"/>
      </w:pPr>
    </w:p>
    <w:p>
      <w:pPr>
        <w:pStyle w:val="4"/>
        <w:widowControl w:val="0"/>
        <w:bidi w:val="0"/>
        <w:spacing w:beforeLines="0" w:beforeAutospacing="0" w:after="160" w:afterAutospacing="0" w:line="480" w:lineRule="auto"/>
        <w:jc w:val="both"/>
      </w:pPr>
      <w:r>
        <w:drawing>
          <wp:anchor distT="0" distB="0" distL="0" distR="0" simplePos="0" relativeHeight="1024" behindDoc="1" locked="0" layoutInCell="0" allowOverlap="1">
            <wp:simplePos x="0" y="0"/>
            <wp:positionH relativeFrom="column">
              <wp:posOffset>-1022985</wp:posOffset>
            </wp:positionH>
            <wp:positionV relativeFrom="paragraph">
              <wp:posOffset>-1350010</wp:posOffset>
            </wp:positionV>
            <wp:extent cx="7586345" cy="10727690"/>
            <wp:effectExtent l="0" t="0" r="0" b="0"/>
            <wp:wrapNone/>
            <wp:docPr id="10" name="图片 12"/>
            <wp:cNvGraphicFramePr/>
            <a:graphic xmlns:a="http://schemas.openxmlformats.org/drawingml/2006/main">
              <a:graphicData uri="http://schemas.openxmlformats.org/drawingml/2006/picture">
                <pic:pic xmlns:pic="http://schemas.openxmlformats.org/drawingml/2006/picture">
                  <pic:nvPicPr>
                    <pic:cNvPr id="10" name="图片 12"/>
                    <pic:cNvPicPr/>
                  </pic:nvPicPr>
                  <pic:blipFill>
                    <a:blip r:embed="rId6"/>
                    <a:stretch>
                      <a:fillRect/>
                    </a:stretch>
                  </pic:blipFill>
                  <pic:spPr>
                    <a:xfrm>
                      <a:off x="0" y="0"/>
                      <a:ext cx="7585560" cy="10726920"/>
                    </a:xfrm>
                    <a:prstGeom prst="rect">
                      <a:avLst/>
                    </a:prstGeom>
                    <a:ln w="0">
                      <a:noFill/>
                    </a:ln>
                  </pic:spPr>
                </pic:pic>
              </a:graphicData>
            </a:graphic>
          </wp:anchor>
        </w:drawing>
      </w:r>
      <w:r>
        <mc:AlternateContent>
          <mc:Choice Requires="wps">
            <w:drawing>
              <wp:anchor distT="0" distB="0" distL="114300" distR="114300" simplePos="0" relativeHeight="1024" behindDoc="0" locked="0" layoutInCell="0" allowOverlap="1">
                <wp:simplePos x="0" y="0"/>
                <wp:positionH relativeFrom="column">
                  <wp:posOffset>-1234440</wp:posOffset>
                </wp:positionH>
                <wp:positionV relativeFrom="paragraph">
                  <wp:posOffset>3290570</wp:posOffset>
                </wp:positionV>
                <wp:extent cx="7560310" cy="103759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7560310" cy="1037590"/>
                        </a:xfrm>
                        <a:prstGeom prst="rect">
                          <a:avLst/>
                        </a:prstGeom>
                        <a:solidFill>
                          <a:srgbClr val="FFFFFF">
                            <a:alpha val="0"/>
                          </a:srgbClr>
                        </a:solidFill>
                      </wps:spPr>
                      <wps:txbx>
                        <w:txbxContent>
                          <w:p>
                            <w:pPr>
                              <w:pStyle w:val="10"/>
                              <w:widowControl/>
                              <w:bidi w:val="0"/>
                              <w:spacing w:beforeLines="0" w:beforeAutospacing="0" w:after="160" w:afterAutospacing="0"/>
                              <w:jc w:val="center"/>
                              <w:rPr>
                                <w:color w:val="FDEFBE"/>
                                <w:sz w:val="96"/>
                                <w:szCs w:val="96"/>
                              </w:rPr>
                            </w:pPr>
                            <w:r>
                              <w:rPr>
                                <w:rFonts w:ascii="黑体" w:hAnsi="黑体" w:eastAsia="黑体"/>
                                <w:color w:val="FDEFBE"/>
                                <w:sz w:val="96"/>
                                <w:szCs w:val="96"/>
                              </w:rPr>
                              <w:t>第一部分  部门概况</w:t>
                            </w:r>
                          </w:p>
                        </w:txbxContent>
                      </wps:txbx>
                      <wps:bodyPr lIns="91440" tIns="45720" rIns="91440" bIns="45720" anchor="t">
                        <a:noAutofit/>
                      </wps:bodyPr>
                    </wps:wsp>
                  </a:graphicData>
                </a:graphic>
              </wp:anchor>
            </w:drawing>
          </mc:Choice>
          <mc:Fallback>
            <w:pict>
              <v:shape id="_x0000_s1026" o:spid="_x0000_s1026" o:spt="202" type="#_x0000_t202" style="position:absolute;left:0pt;margin-left:-97.2pt;margin-top:259.1pt;height:81.7pt;width:595.3pt;z-index:1024;mso-width-relative:page;mso-height-relative:page;" fillcolor="#FFFFFF" filled="t" stroked="f" coordsize="21600,21600" o:allowincell="f" o:gfxdata="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FfO+Kjb&#10;AAAADAEAAA8AAAAAAAAAAQAgAAAAOAAAAGRycy9kb3ducmV2LnhtbFBLAQIUABQAAAAIAIdO4kAS&#10;+unnzgEAAIEDAAAOAAAAAAAAAAEAIAAAAEABAABkcnMvZTJvRG9jLnhtbFBLBQYAAAAABgAGAFkB&#10;AACABQAAAAA=&#10;">
                <v:fill on="t" opacity="0f" focussize="0,0"/>
                <v:stroke on="f"/>
                <v:imagedata o:title=""/>
                <o:lock v:ext="edit" aspectratio="f"/>
                <v:textbox>
                  <w:txbxContent>
                    <w:p>
                      <w:pPr>
                        <w:pStyle w:val="10"/>
                        <w:widowControl/>
                        <w:bidi w:val="0"/>
                        <w:spacing w:beforeLines="0" w:beforeAutospacing="0" w:after="160" w:afterAutospacing="0"/>
                        <w:jc w:val="center"/>
                        <w:rPr>
                          <w:color w:val="FDEFBE"/>
                          <w:sz w:val="96"/>
                          <w:szCs w:val="96"/>
                        </w:rPr>
                      </w:pPr>
                      <w:r>
                        <w:rPr>
                          <w:rFonts w:ascii="黑体" w:hAnsi="黑体" w:eastAsia="黑体"/>
                          <w:color w:val="FDEFBE"/>
                          <w:sz w:val="96"/>
                          <w:szCs w:val="96"/>
                        </w:rPr>
                        <w:t>第一部分  部门概况</w:t>
                      </w:r>
                    </w:p>
                  </w:txbxContent>
                </v:textbox>
              </v:shape>
            </w:pict>
          </mc:Fallback>
        </mc:AlternateContent>
      </w:r>
    </w:p>
    <w:p>
      <w:pPr>
        <w:pStyle w:val="4"/>
        <w:widowControl w:val="0"/>
        <w:bidi w:val="0"/>
        <w:spacing w:beforeLines="0" w:beforeAutospacing="0" w:after="160" w:afterAutospacing="0" w:line="480" w:lineRule="auto"/>
        <w:jc w:val="both"/>
      </w:pPr>
    </w:p>
    <w:p>
      <w:pPr>
        <w:pStyle w:val="4"/>
        <w:widowControl w:val="0"/>
        <w:bidi w:val="0"/>
        <w:spacing w:beforeLines="0" w:beforeAutospacing="0" w:after="160" w:afterAutospacing="0" w:line="480" w:lineRule="auto"/>
        <w:jc w:val="both"/>
      </w:pPr>
    </w:p>
    <w:p>
      <w:pPr>
        <w:pStyle w:val="4"/>
        <w:widowControl w:val="0"/>
        <w:bidi w:val="0"/>
        <w:spacing w:beforeLines="0" w:beforeAutospacing="0" w:after="160" w:afterAutospacing="0" w:line="480" w:lineRule="auto"/>
        <w:jc w:val="both"/>
      </w:pPr>
    </w:p>
    <w:p>
      <w:pPr>
        <w:pStyle w:val="4"/>
        <w:widowControl w:val="0"/>
        <w:bidi w:val="0"/>
        <w:spacing w:beforeLines="0" w:beforeAutospacing="0" w:after="160" w:afterAutospacing="0" w:line="480" w:lineRule="auto"/>
        <w:jc w:val="both"/>
      </w:pPr>
    </w:p>
    <w:p>
      <w:pPr>
        <w:pStyle w:val="4"/>
        <w:widowControl w:val="0"/>
        <w:bidi w:val="0"/>
        <w:spacing w:beforeLines="0" w:beforeAutospacing="0" w:after="160" w:afterAutospacing="0" w:line="480" w:lineRule="auto"/>
        <w:jc w:val="both"/>
      </w:pPr>
    </w:p>
    <w:p>
      <w:pPr>
        <w:pStyle w:val="4"/>
        <w:widowControl w:val="0"/>
        <w:bidi w:val="0"/>
        <w:spacing w:beforeLines="0" w:beforeAutospacing="0" w:after="160" w:afterAutospacing="0" w:line="480" w:lineRule="auto"/>
        <w:jc w:val="both"/>
      </w:pPr>
    </w:p>
    <w:p>
      <w:pPr>
        <w:pStyle w:val="4"/>
        <w:widowControl w:val="0"/>
        <w:bidi w:val="0"/>
        <w:spacing w:beforeLines="0" w:beforeAutospacing="0" w:after="160" w:afterAutospacing="0" w:line="480" w:lineRule="auto"/>
        <w:jc w:val="both"/>
      </w:pPr>
    </w:p>
    <w:p>
      <w:pPr>
        <w:pStyle w:val="4"/>
        <w:widowControl w:val="0"/>
        <w:bidi w:val="0"/>
        <w:spacing w:beforeLines="0" w:beforeAutospacing="0" w:after="160" w:afterAutospacing="0" w:line="480" w:lineRule="auto"/>
        <w:jc w:val="both"/>
      </w:pPr>
    </w:p>
    <w:p>
      <w:pPr>
        <w:pStyle w:val="4"/>
        <w:widowControl w:val="0"/>
        <w:bidi w:val="0"/>
        <w:spacing w:beforeLines="0" w:beforeAutospacing="0" w:after="160" w:afterAutospacing="0" w:line="480" w:lineRule="auto"/>
        <w:jc w:val="both"/>
      </w:pPr>
    </w:p>
    <w:p>
      <w:pPr>
        <w:pStyle w:val="4"/>
        <w:widowControl w:val="0"/>
        <w:bidi w:val="0"/>
        <w:spacing w:beforeLines="0" w:beforeAutospacing="0" w:after="160" w:afterAutospacing="0" w:line="480" w:lineRule="auto"/>
        <w:jc w:val="both"/>
      </w:pPr>
    </w:p>
    <w:p>
      <w:pPr>
        <w:pStyle w:val="4"/>
        <w:widowControl w:val="0"/>
        <w:bidi w:val="0"/>
        <w:spacing w:beforeLines="0" w:beforeAutospacing="0" w:after="160" w:afterAutospacing="0" w:line="480" w:lineRule="auto"/>
        <w:jc w:val="both"/>
      </w:pPr>
    </w:p>
    <w:p>
      <w:pPr>
        <w:pStyle w:val="4"/>
        <w:widowControl w:val="0"/>
        <w:bidi w:val="0"/>
        <w:spacing w:beforeLines="0" w:beforeAutospacing="0" w:after="160" w:afterAutospacing="0" w:line="480" w:lineRule="auto"/>
        <w:jc w:val="both"/>
      </w:pPr>
    </w:p>
    <w:p>
      <w:pPr>
        <w:pStyle w:val="4"/>
        <w:widowControl w:val="0"/>
        <w:bidi w:val="0"/>
        <w:spacing w:beforeLines="0" w:beforeAutospacing="0" w:after="160" w:afterAutospacing="0" w:line="480" w:lineRule="auto"/>
        <w:jc w:val="both"/>
      </w:pPr>
    </w:p>
    <w:p>
      <w:pPr>
        <w:pStyle w:val="4"/>
        <w:widowControl w:val="0"/>
        <w:bidi w:val="0"/>
        <w:spacing w:beforeLines="0" w:beforeAutospacing="0" w:after="160" w:afterAutospacing="0" w:line="480" w:lineRule="auto"/>
        <w:jc w:val="both"/>
      </w:pPr>
    </w:p>
    <w:p>
      <w:pPr>
        <w:pStyle w:val="4"/>
        <w:widowControl w:val="0"/>
        <w:bidi w:val="0"/>
        <w:spacing w:beforeLines="0" w:beforeAutospacing="0" w:after="160" w:afterAutospacing="0" w:line="480" w:lineRule="auto"/>
        <w:jc w:val="both"/>
      </w:pPr>
    </w:p>
    <w:p>
      <w:pPr>
        <w:pStyle w:val="5"/>
        <w:bidi w:val="0"/>
        <w:spacing w:before="0" w:beforeAutospacing="0" w:after="0" w:afterAutospacing="0" w:line="600" w:lineRule="exact"/>
        <w:jc w:val="left"/>
        <w:rPr>
          <w:rFonts w:ascii="黑体" w:hAnsi="黑体" w:eastAsia="黑体" w:cs="黑体"/>
          <w:b w:val="0"/>
          <w:bCs w:val="0"/>
          <w:kern w:val="0"/>
          <w:sz w:val="32"/>
          <w:szCs w:val="32"/>
        </w:rPr>
      </w:pPr>
      <w:r>
        <mc:AlternateContent>
          <mc:Choice Requires="wpg">
            <w:drawing>
              <wp:anchor distT="0" distB="0" distL="114300" distR="114300" simplePos="0" relativeHeight="1024" behindDoc="1" locked="0" layoutInCell="0" allowOverlap="1">
                <wp:simplePos x="0" y="0"/>
                <wp:positionH relativeFrom="column">
                  <wp:posOffset>-1023620</wp:posOffset>
                </wp:positionH>
                <wp:positionV relativeFrom="page">
                  <wp:posOffset>501650</wp:posOffset>
                </wp:positionV>
                <wp:extent cx="3115310" cy="593090"/>
                <wp:effectExtent l="0" t="0" r="0" b="0"/>
                <wp:wrapNone/>
                <wp:docPr id="12" name="组合 1036"/>
                <wp:cNvGraphicFramePr/>
                <a:graphic xmlns:a="http://schemas.openxmlformats.org/drawingml/2006/main">
                  <a:graphicData uri="http://schemas.microsoft.com/office/word/2010/wordprocessingGroup">
                    <wpg:wgp>
                      <wpg:cNvGrpSpPr/>
                      <wpg:grpSpPr>
                        <a:xfrm>
                          <a:off x="0" y="0"/>
                          <a:ext cx="3114720" cy="592560"/>
                          <a:chOff x="0" y="0"/>
                          <a:chExt cx="3114720" cy="592560"/>
                        </a:xfrm>
                      </wpg:grpSpPr>
                      <wps:wsp>
                        <wps:cNvPr id="13" name="矩形 13"/>
                        <wps:cNvSpPr/>
                        <wps:spPr>
                          <a:xfrm>
                            <a:off x="0" y="0"/>
                            <a:ext cx="3114720" cy="498600"/>
                          </a:xfrm>
                          <a:prstGeom prst="rect">
                            <a:avLst/>
                          </a:prstGeom>
                          <a:solidFill>
                            <a:srgbClr val="D8D8D8"/>
                          </a:solidFill>
                          <a:ln w="0">
                            <a:noFill/>
                          </a:ln>
                        </wps:spPr>
                        <wps:bodyPr/>
                      </wps:wsp>
                      <wps:wsp>
                        <wps:cNvPr id="14" name="文本框 14"/>
                        <wps:cNvSpPr txBox="true"/>
                        <wps:spPr>
                          <a:xfrm>
                            <a:off x="9360" y="116280"/>
                            <a:ext cx="3034080" cy="476280"/>
                          </a:xfrm>
                          <a:prstGeom prst="rect">
                            <a:avLst/>
                          </a:prstGeom>
                          <a:solidFill>
                            <a:srgbClr val="AD002D"/>
                          </a:solidFill>
                          <a:ln w="25560">
                            <a:solidFill>
                              <a:srgbClr val="AF7621"/>
                            </a:solidFill>
                            <a:round/>
                          </a:ln>
                        </wps:spPr>
                        <wps:txb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2018年度部门决算☞部门概况</w:t>
                              </w:r>
                            </w:p>
                            <w:p>
                              <w:pPr>
                                <w:overflowPunct w:val="0"/>
                                <w:bidi w:val="0"/>
                                <w:spacing w:beforeLines="0" w:beforeAutospacing="0" w:afterLines="0" w:afterAutospacing="0" w:line="240" w:lineRule="auto"/>
                                <w:jc w:val="center"/>
                              </w:pPr>
                            </w:p>
                          </w:txbxContent>
                        </wps:txbx>
                        <wps:bodyPr wrap="square">
                          <a:noAutofit/>
                        </wps:bodyPr>
                      </wps:wsp>
                    </wpg:wgp>
                  </a:graphicData>
                </a:graphic>
              </wp:anchor>
            </w:drawing>
          </mc:Choice>
          <mc:Fallback>
            <w:pict>
              <v:group id="组合 1036" o:spid="_x0000_s1026" o:spt="203" style="position:absolute;left:0pt;margin-left:-80.6pt;margin-top:39.5pt;height:46.7pt;width:245.3pt;mso-position-vertical-relative:page;z-index:-503315456;mso-width-relative:page;mso-height-relative:page;" coordsize="3114720,592560" o:allowincell="f" o:gfxdata="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dlrVmtsAAAALAQAA&#10;DwAAAAAAAAABACAAAAA4AAAAZHJzL2Rvd25yZXYueG1sUEsBAhQAFAAAAAgAh07iQKN0ATpyAgAA&#10;PwYAAA4AAAAAAAAAAQAgAAAAQAEAAGRycy9lMm9Eb2MueG1sUEsFBgAAAAAGAAYAWQEAACQGAAAA&#10;AA==&#10;">
                <o:lock v:ext="edit" aspectratio="f"/>
                <v:rect id="_x0000_s1026" o:spid="_x0000_s1026" o:spt="1" style="position:absolute;left:0;top:0;height:498600;width:3114720;" fillcolor="#D8D8D8" filled="t" stroked="f" coordsize="21600,21600" o:gfxdata="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gc9S+7AAAA2wAAAA8AAAAAAAAAAQAgAAAAOAAAAGRycy9kb3ducmV2Lnht&#10;bFBLAQIUABQAAAAIAIdO4kAzLwWeOwAAADkAAAAQAAAAAAAAAAEAIAAAACABAABkcnMvc2hhcGV4&#10;bWwueG1sUEsFBgAAAAAGAAYAWwEAAMoDAAAAAA==&#10;">
                  <v:fill on="t" focussize="0,0"/>
                  <v:stroke on="f" weight="0pt"/>
                  <v:imagedata o:title=""/>
                  <o:lock v:ext="edit" aspectratio="f"/>
                </v:rect>
                <v:shape id="_x0000_s1026" o:spid="_x0000_s1026" o:spt="202" type="#_x0000_t202" style="position:absolute;left:9360;top:116280;height:476280;width:3034080;" fillcolor="#AD002D" filled="t" stroked="t" coordsize="21600,21600" o:gfxdata="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yPEL+7AAAA2wAAAA8AAAAAAAAAAQAgAAAAOAAAAGRycy9kb3ducmV2Lnht&#10;bFBLAQIUABQAAAAIAIdO4kAzLwWeOwAAADkAAAAQAAAAAAAAAAEAIAAAACABAABkcnMvc2hhcGV4&#10;bWwueG1sUEsFBgAAAAAGAAYAWwEAAMoDAAAAAA==&#10;">
                  <v:fill on="t" focussize="0,0"/>
                  <v:stroke weight="2.01259842519685pt" color="#AF7621" joinstyle="round"/>
                  <v:imagedata o:title=""/>
                  <o:lock v:ext="edit" aspectratio="f"/>
                  <v:textbo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2018年度部门决算☞部门概况</w:t>
                        </w:r>
                      </w:p>
                      <w:p>
                        <w:pPr>
                          <w:overflowPunct w:val="0"/>
                          <w:bidi w:val="0"/>
                          <w:spacing w:beforeLines="0" w:beforeAutospacing="0" w:afterLines="0" w:afterAutospacing="0" w:line="240" w:lineRule="auto"/>
                          <w:jc w:val="center"/>
                        </w:pPr>
                      </w:p>
                    </w:txbxContent>
                  </v:textbox>
                </v:shape>
              </v:group>
            </w:pict>
          </mc:Fallback>
        </mc:AlternateContent>
      </w:r>
      <w:r>
        <w:rPr>
          <w:rFonts w:ascii="黑体" w:hAnsi="黑体" w:eastAsia="黑体" w:cs="黑体"/>
          <w:b w:val="0"/>
          <w:bCs w:val="0"/>
          <w:kern w:val="0"/>
          <w:sz w:val="32"/>
          <w:szCs w:val="32"/>
        </w:rPr>
        <w:t>一、部门职责</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40" w:firstLineChars="200"/>
        <w:rPr>
          <w:rFonts w:ascii="仿宋" w:hAnsi="仿宋" w:eastAsia="仿宋"/>
          <w:sz w:val="32"/>
          <w:szCs w:val="32"/>
        </w:rPr>
      </w:pPr>
      <w:r>
        <w:rPr>
          <w:rFonts w:ascii="仿宋" w:hAnsi="仿宋" w:eastAsia="仿宋"/>
          <w:sz w:val="32"/>
          <w:szCs w:val="32"/>
        </w:rPr>
        <w:t xml:space="preserve">根据《唐山市机构编制委员会办公室职能配置、内设机构和人员编制方案》规定，唐山市工商行政管理局的主要职责是： </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40" w:firstLineChars="200"/>
        <w:rPr>
          <w:rFonts w:ascii="仿宋" w:hAnsi="仿宋" w:eastAsia="仿宋"/>
          <w:sz w:val="32"/>
          <w:szCs w:val="32"/>
        </w:rPr>
      </w:pPr>
      <w:r>
        <w:rPr>
          <w:rFonts w:ascii="仿宋" w:hAnsi="仿宋" w:eastAsia="仿宋"/>
          <w:sz w:val="32"/>
          <w:szCs w:val="32"/>
        </w:rPr>
        <w:t>（1）贯彻执行国家、省关于工商行政管理的法律法规和方针政策，起草工商行政管理地方性法规、规章草案，拟定全市工商行政管理措施办法。负责工商信息化工作。</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40" w:firstLineChars="200"/>
        <w:rPr>
          <w:rFonts w:ascii="仿宋" w:hAnsi="仿宋" w:eastAsia="仿宋"/>
          <w:sz w:val="32"/>
          <w:szCs w:val="32"/>
        </w:rPr>
      </w:pPr>
      <w:r>
        <w:rPr>
          <w:rFonts w:ascii="仿宋" w:hAnsi="仿宋" w:eastAsia="仿宋"/>
          <w:sz w:val="32"/>
          <w:szCs w:val="32"/>
        </w:rPr>
        <w:t>（2）负责各类市场监督管理和行政执法，规范和维护各类市场经营秩序，监督管理市场交易行为和网络商品交易及有关服务的行为。</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40" w:firstLineChars="200"/>
        <w:rPr>
          <w:rFonts w:ascii="仿宋" w:hAnsi="仿宋" w:eastAsia="仿宋"/>
          <w:sz w:val="32"/>
          <w:szCs w:val="32"/>
        </w:rPr>
      </w:pPr>
      <w:r>
        <w:rPr>
          <w:rFonts w:ascii="仿宋" w:hAnsi="仿宋" w:eastAsia="仿宋"/>
          <w:sz w:val="32"/>
          <w:szCs w:val="32"/>
        </w:rPr>
        <w:t>（3）按照业务权限，负责各类企业、农民专业合作社、个体工商户和从事经营活动的单位以及外国（地区）企业驻辖区代表机构等市场主体的登记注册和监督管理。按照职责分工和属地管理原则，依法查处取缔无照经营。</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40" w:firstLineChars="200"/>
        <w:rPr>
          <w:rFonts w:ascii="仿宋" w:hAnsi="仿宋" w:eastAsia="仿宋"/>
          <w:sz w:val="32"/>
          <w:szCs w:val="32"/>
        </w:rPr>
      </w:pPr>
      <w:r>
        <w:rPr>
          <w:rFonts w:ascii="仿宋" w:hAnsi="仿宋" w:eastAsia="仿宋"/>
          <w:sz w:val="32"/>
          <w:szCs w:val="32"/>
        </w:rPr>
        <w:t>（4）负责监督管理流通领域商品质量，组织开展有关服务领域消费维权工作，依法查处假冒伪劣等违法行为，指导消费者咨询和申诉、举报受理、处理以及网络体系建设等工作，保护消费者、经营者合法权益。</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40" w:firstLineChars="200"/>
        <w:rPr>
          <w:rFonts w:ascii="仿宋" w:hAnsi="仿宋" w:eastAsia="仿宋"/>
          <w:sz w:val="32"/>
          <w:szCs w:val="32"/>
        </w:rPr>
      </w:pPr>
      <w:r>
        <w:rPr>
          <w:rFonts w:ascii="仿宋" w:hAnsi="仿宋" w:eastAsia="仿宋"/>
          <w:sz w:val="32"/>
          <w:szCs w:val="32"/>
        </w:rPr>
        <w:t>（5）按照职责分工，依法查处传销和违法直销行为，监督管理直销企业和直销员及其直销活动。</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40" w:firstLineChars="200"/>
        <w:rPr>
          <w:rFonts w:ascii="仿宋" w:hAnsi="仿宋" w:eastAsia="仿宋"/>
          <w:sz w:val="32"/>
          <w:szCs w:val="32"/>
        </w:rPr>
      </w:pPr>
      <w:r>
        <w:rPr>
          <w:rFonts w:ascii="仿宋" w:hAnsi="仿宋" w:eastAsia="仿宋"/>
          <w:sz w:val="32"/>
          <w:szCs w:val="32"/>
        </w:rPr>
        <w:t>（6）根据授权，负责垄断协议、滥用市场支配地位、滥用行政权力排除限制竞争方面的反垄断执法工作（价格垄断行为除外）。依法查处不正当竞争、商业贿赂、走私贩私等经济违法行为。</w:t>
      </w:r>
    </w:p>
    <w:p>
      <w:pPr>
        <w:pStyle w:val="8"/>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rPr>
          <w:rFonts w:ascii="仿宋" w:hAnsi="仿宋" w:eastAsia="仿宋"/>
          <w:sz w:val="32"/>
          <w:szCs w:val="32"/>
        </w:rPr>
      </w:pPr>
      <w:r>
        <w:rPr>
          <w:rFonts w:ascii="仿宋" w:hAnsi="仿宋" w:eastAsia="仿宋"/>
          <w:sz w:val="32"/>
          <w:szCs w:val="32"/>
        </w:rPr>
        <w:t>监督管理经纪人、经纪机构及经纪活动。</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40" w:firstLineChars="200"/>
        <w:rPr>
          <w:rFonts w:ascii="仿宋" w:hAnsi="仿宋" w:eastAsia="仿宋"/>
          <w:sz w:val="32"/>
          <w:szCs w:val="32"/>
        </w:rPr>
      </w:pPr>
      <w:r>
        <w:rPr>
          <w:rFonts w:ascii="仿宋" w:hAnsi="仿宋" w:eastAsia="仿宋"/>
          <w:sz w:val="32"/>
          <w:szCs w:val="32"/>
        </w:rPr>
        <w:t>（8）实施合同行政监督管理，负责管理动产抵押物登记，组织监督管理拍卖行为，依法查处合同欺诈等违法行为。</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40" w:firstLineChars="200"/>
        <w:rPr>
          <w:rFonts w:ascii="仿宋" w:hAnsi="仿宋" w:eastAsia="仿宋"/>
          <w:sz w:val="32"/>
          <w:szCs w:val="32"/>
        </w:rPr>
      </w:pPr>
      <w:r>
        <w:rPr>
          <w:rFonts w:ascii="仿宋" w:hAnsi="仿宋" w:eastAsia="仿宋"/>
          <w:sz w:val="32"/>
          <w:szCs w:val="32"/>
        </w:rPr>
        <w:t>（9）指导全市广告业发展，负责广告活动的监督管理工作。</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40" w:firstLineChars="200"/>
        <w:rPr>
          <w:rFonts w:ascii="仿宋" w:hAnsi="仿宋" w:eastAsia="仿宋"/>
          <w:sz w:val="32"/>
          <w:szCs w:val="32"/>
        </w:rPr>
      </w:pPr>
      <w:r>
        <w:rPr>
          <w:rFonts w:ascii="仿宋" w:hAnsi="仿宋" w:eastAsia="仿宋"/>
          <w:sz w:val="32"/>
          <w:szCs w:val="32"/>
        </w:rPr>
        <w:t>（10）组织指导全市商标管理工作，依法保护商标专用权和查处商标侵权行为；负责驰名商标、著名商标的培育推荐保护和知名商标的组织认定工作；负责特殊标志、官方标志的保护。</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40" w:firstLineChars="200"/>
        <w:rPr>
          <w:rFonts w:ascii="仿宋" w:hAnsi="仿宋" w:eastAsia="仿宋"/>
          <w:sz w:val="32"/>
          <w:szCs w:val="32"/>
        </w:rPr>
      </w:pPr>
      <w:r>
        <w:rPr>
          <w:rFonts w:ascii="仿宋" w:hAnsi="仿宋" w:eastAsia="仿宋"/>
          <w:sz w:val="32"/>
          <w:szCs w:val="32"/>
        </w:rPr>
        <w:t>（11）研究分析并发布市场主体登记注册基础信息等相关信息，为政府决策和社会公众提供信息服务。</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40" w:firstLineChars="200"/>
        <w:rPr>
          <w:rFonts w:ascii="仿宋" w:hAnsi="仿宋" w:eastAsia="仿宋"/>
          <w:sz w:val="32"/>
          <w:szCs w:val="32"/>
        </w:rPr>
      </w:pPr>
      <w:r>
        <w:rPr>
          <w:rFonts w:ascii="仿宋" w:hAnsi="仿宋" w:eastAsia="仿宋"/>
          <w:sz w:val="32"/>
          <w:szCs w:val="32"/>
        </w:rPr>
        <w:t>（12）按照规定管理机关及直属单位的人事、机构编制、财务、审计、离退休干部工作；指导全市工商行政管理系统法律法规和业务培训工作</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40" w:firstLineChars="200"/>
        <w:rPr>
          <w:rFonts w:ascii="仿宋" w:hAnsi="仿宋" w:eastAsia="仿宋"/>
          <w:sz w:val="32"/>
          <w:szCs w:val="32"/>
        </w:rPr>
      </w:pPr>
      <w:r>
        <w:rPr>
          <w:rFonts w:ascii="仿宋" w:hAnsi="仿宋" w:eastAsia="仿宋"/>
          <w:sz w:val="32"/>
          <w:szCs w:val="32"/>
        </w:rPr>
        <w:t>（13）组织指导消费者协会、个体劳动者和私营企业协会的社团工作。</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40" w:firstLineChars="200"/>
        <w:rPr>
          <w:rFonts w:ascii="仿宋_GB2312" w:hAnsi="仿宋_GB2312" w:eastAsia="仿宋_GB2312" w:cs="ArialUnicodeMS"/>
          <w:kern w:val="0"/>
          <w:sz w:val="32"/>
          <w:szCs w:val="32"/>
        </w:rPr>
      </w:pPr>
      <w:r>
        <w:rPr>
          <w:rFonts w:ascii="仿宋" w:hAnsi="仿宋" w:eastAsia="仿宋"/>
          <w:sz w:val="32"/>
          <w:szCs w:val="32"/>
        </w:rPr>
        <w:t>（14）承办市政府交办的其他事项。</w:t>
      </w:r>
    </w:p>
    <w:p>
      <w:pPr>
        <w:pStyle w:val="5"/>
        <w:bidi w:val="0"/>
        <w:spacing w:before="0" w:beforeAutospacing="0" w:after="0" w:afterAutospacing="0" w:line="600" w:lineRule="exact"/>
        <w:jc w:val="left"/>
        <w:rPr>
          <w:rFonts w:ascii="黑体" w:hAnsi="黑体" w:eastAsia="黑体" w:cs="黑体"/>
          <w:b w:val="0"/>
          <w:bCs w:val="0"/>
          <w:kern w:val="0"/>
          <w:sz w:val="32"/>
          <w:szCs w:val="32"/>
        </w:rPr>
      </w:pPr>
      <w:r>
        <w:rPr>
          <w:rFonts w:ascii="黑体" w:hAnsi="黑体" w:eastAsia="黑体" w:cs="黑体"/>
          <w:b w:val="0"/>
          <w:bCs w:val="0"/>
          <w:kern w:val="0"/>
          <w:sz w:val="32"/>
          <w:szCs w:val="32"/>
        </w:rPr>
        <w:t>二、机构设置</w:t>
      </w:r>
    </w:p>
    <w:p>
      <w:pPr>
        <w:pStyle w:val="4"/>
        <w:bidi w:val="0"/>
        <w:spacing w:beforeLines="0" w:beforeAutospacing="0" w:after="0" w:afterAutospacing="0" w:line="560" w:lineRule="exact"/>
        <w:rPr>
          <w:rFonts w:ascii="仿宋_GB2312" w:hAnsi="仿宋_GB2312" w:eastAsia="仿宋_GB2312" w:cs="ArialUnicodeMS"/>
          <w:kern w:val="0"/>
          <w:sz w:val="32"/>
          <w:szCs w:val="32"/>
        </w:rPr>
      </w:pPr>
      <w:r>
        <w:rPr>
          <w:rFonts w:ascii="仿宋_GB2312" w:hAnsi="仿宋_GB2312" w:eastAsia="仿宋_GB2312" w:cs="ArialUnicodeMS"/>
          <w:kern w:val="0"/>
          <w:sz w:val="32"/>
          <w:szCs w:val="32"/>
        </w:rPr>
        <w:t>从决算编报单位构成看，纳入2018 年度本部门决算汇编范围的独立核算单位（以下简称“单位”）共6个，具体情况如下：</w:t>
      </w:r>
    </w:p>
    <w:tbl>
      <w:tblPr>
        <w:tblStyle w:val="2"/>
        <w:tblpPr w:leftFromText="180" w:rightFromText="180" w:vertAnchor="text" w:horzAnchor="page" w:tblpXSpec="center" w:tblpY="10"/>
        <w:tblW w:w="9580" w:type="dxa"/>
        <w:jc w:val="center"/>
        <w:tblLayout w:type="fixed"/>
        <w:tblCellMar>
          <w:top w:w="0" w:type="dxa"/>
          <w:left w:w="108" w:type="dxa"/>
          <w:bottom w:w="0" w:type="dxa"/>
          <w:right w:w="108" w:type="dxa"/>
        </w:tblCellMar>
      </w:tblPr>
      <w:tblGrid>
        <w:gridCol w:w="984"/>
        <w:gridCol w:w="3486"/>
        <w:gridCol w:w="2444"/>
        <w:gridCol w:w="2665"/>
      </w:tblGrid>
      <w:tr>
        <w:tblPrEx>
          <w:tblCellMar>
            <w:top w:w="0" w:type="dxa"/>
            <w:left w:w="108" w:type="dxa"/>
            <w:bottom w:w="0" w:type="dxa"/>
            <w:right w:w="108" w:type="dxa"/>
          </w:tblCellMar>
        </w:tblPrEx>
        <w:trPr>
          <w:trHeight w:val="811" w:hRule="atLeast"/>
          <w:jc w:val="center"/>
        </w:trPr>
        <w:tc>
          <w:tcPr>
            <w:tcW w:w="984"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560" w:lineRule="exact"/>
              <w:jc w:val="center"/>
              <w:rPr>
                <w:rFonts w:ascii="仿宋_GB2312" w:hAnsi="仿宋_GB2312" w:eastAsia="仿宋_GB2312" w:cs="ArialUnicodeMS"/>
                <w:b/>
                <w:bCs/>
                <w:kern w:val="0"/>
                <w:sz w:val="28"/>
                <w:szCs w:val="28"/>
              </w:rPr>
            </w:pPr>
            <w:r>
              <w:rPr>
                <w:rFonts w:ascii="仿宋_GB2312" w:hAnsi="仿宋_GB2312" w:eastAsia="仿宋_GB2312" w:cs="ArialUnicodeMS"/>
                <w:b/>
                <w:bCs/>
                <w:kern w:val="0"/>
                <w:sz w:val="28"/>
                <w:szCs w:val="28"/>
              </w:rPr>
              <w:t>序号</w:t>
            </w:r>
          </w:p>
        </w:tc>
        <w:tc>
          <w:tcPr>
            <w:tcW w:w="3486"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560" w:lineRule="exact"/>
              <w:jc w:val="center"/>
              <w:rPr>
                <w:rFonts w:ascii="仿宋_GB2312" w:hAnsi="仿宋_GB2312" w:eastAsia="仿宋_GB2312" w:cs="ArialUnicodeMS"/>
                <w:b/>
                <w:bCs/>
                <w:kern w:val="0"/>
                <w:sz w:val="28"/>
                <w:szCs w:val="28"/>
              </w:rPr>
            </w:pPr>
            <w:r>
              <w:rPr>
                <w:rFonts w:ascii="仿宋_GB2312" w:hAnsi="仿宋_GB2312" w:eastAsia="仿宋_GB2312" w:cs="ArialUnicodeMS"/>
                <w:b/>
                <w:bCs/>
                <w:kern w:val="0"/>
                <w:sz w:val="28"/>
                <w:szCs w:val="28"/>
              </w:rPr>
              <w:t>单位名称</w:t>
            </w:r>
          </w:p>
        </w:tc>
        <w:tc>
          <w:tcPr>
            <w:tcW w:w="2444"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560" w:lineRule="exact"/>
              <w:jc w:val="center"/>
              <w:rPr>
                <w:rFonts w:ascii="仿宋_GB2312" w:hAnsi="仿宋_GB2312" w:eastAsia="仿宋_GB2312" w:cs="ArialUnicodeMS"/>
                <w:b/>
                <w:bCs/>
                <w:kern w:val="0"/>
                <w:sz w:val="28"/>
                <w:szCs w:val="28"/>
              </w:rPr>
            </w:pPr>
            <w:r>
              <w:rPr>
                <w:rFonts w:ascii="仿宋_GB2312" w:hAnsi="仿宋_GB2312" w:eastAsia="仿宋_GB2312" w:cs="ArialUnicodeMS"/>
                <w:b/>
                <w:bCs/>
                <w:kern w:val="0"/>
                <w:sz w:val="28"/>
                <w:szCs w:val="28"/>
              </w:rPr>
              <w:t>单位基本性质</w:t>
            </w: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560" w:lineRule="exact"/>
              <w:jc w:val="center"/>
              <w:rPr>
                <w:rFonts w:ascii="仿宋_GB2312" w:hAnsi="仿宋_GB2312" w:eastAsia="仿宋_GB2312" w:cs="ArialUnicodeMS"/>
                <w:b/>
                <w:bCs/>
                <w:kern w:val="0"/>
                <w:sz w:val="28"/>
                <w:szCs w:val="28"/>
              </w:rPr>
            </w:pPr>
            <w:r>
              <w:rPr>
                <w:rFonts w:ascii="仿宋_GB2312" w:hAnsi="仿宋_GB2312" w:eastAsia="仿宋_GB2312" w:cs="ArialUnicodeMS"/>
                <w:b/>
                <w:bCs/>
                <w:kern w:val="0"/>
                <w:sz w:val="28"/>
                <w:szCs w:val="28"/>
              </w:rPr>
              <w:t>经费形式</w:t>
            </w:r>
          </w:p>
        </w:tc>
      </w:tr>
      <w:tr>
        <w:tblPrEx>
          <w:tblCellMar>
            <w:top w:w="0" w:type="dxa"/>
            <w:left w:w="108" w:type="dxa"/>
            <w:bottom w:w="0" w:type="dxa"/>
            <w:right w:w="108" w:type="dxa"/>
          </w:tblCellMar>
        </w:tblPrEx>
        <w:trPr>
          <w:trHeight w:val="596" w:hRule="atLeast"/>
          <w:jc w:val="center"/>
        </w:trPr>
        <w:tc>
          <w:tcPr>
            <w:tcW w:w="984" w:type="dxa"/>
            <w:tcBorders>
              <w:top w:val="single" w:color="000000" w:sz="4" w:space="0"/>
              <w:left w:val="single" w:color="000000" w:sz="4" w:space="0"/>
              <w:bottom w:val="single" w:color="000000" w:sz="4" w:space="0"/>
              <w:right w:val="single" w:color="000000" w:sz="4" w:space="0"/>
            </w:tcBorders>
          </w:tcPr>
          <w:p>
            <w:pPr>
              <w:pStyle w:val="4"/>
              <w:widowControl w:val="0"/>
              <w:bidi w:val="0"/>
              <w:spacing w:beforeLines="0" w:beforeAutospacing="0" w:after="0" w:afterAutospacing="0" w:line="560" w:lineRule="exact"/>
              <w:jc w:val="center"/>
              <w:rPr>
                <w:rFonts w:ascii="仿宋_GB2312" w:hAnsi="仿宋_GB2312" w:eastAsia="仿宋_GB2312" w:cs="ArialUnicodeMS"/>
                <w:kern w:val="0"/>
                <w:sz w:val="28"/>
                <w:szCs w:val="28"/>
              </w:rPr>
            </w:pPr>
            <w:r>
              <w:rPr>
                <w:rFonts w:ascii="仿宋_GB2312" w:hAnsi="仿宋_GB2312" w:eastAsia="仿宋_GB2312" w:cs="ArialUnicodeMS"/>
                <w:kern w:val="0"/>
                <w:sz w:val="28"/>
                <w:szCs w:val="28"/>
              </w:rPr>
              <w:t>1</w:t>
            </w:r>
          </w:p>
        </w:tc>
        <w:tc>
          <w:tcPr>
            <w:tcW w:w="3486" w:type="dxa"/>
            <w:tcBorders>
              <w:top w:val="single" w:color="000000" w:sz="4" w:space="0"/>
              <w:left w:val="single" w:color="000000" w:sz="4" w:space="0"/>
              <w:bottom w:val="single" w:color="000000" w:sz="4" w:space="0"/>
              <w:right w:val="single" w:color="000000" w:sz="4" w:space="0"/>
            </w:tcBorders>
          </w:tcPr>
          <w:p>
            <w:pPr>
              <w:pStyle w:val="4"/>
              <w:widowControl w:val="0"/>
              <w:bidi w:val="0"/>
              <w:spacing w:beforeLines="0" w:beforeAutospacing="0" w:after="0" w:afterAutospacing="0" w:line="560" w:lineRule="exact"/>
              <w:rPr>
                <w:rFonts w:ascii="仿宋" w:hAnsi="仿宋" w:eastAsia="仿宋" w:cs="ArialUnicodeMS"/>
                <w:kern w:val="0"/>
                <w:sz w:val="28"/>
                <w:szCs w:val="28"/>
              </w:rPr>
            </w:pPr>
            <w:r>
              <w:rPr>
                <w:rFonts w:ascii="仿宋" w:hAnsi="仿宋" w:eastAsia="仿宋" w:cs="微软雅黑"/>
                <w:kern w:val="0"/>
                <w:sz w:val="28"/>
                <w:szCs w:val="28"/>
              </w:rPr>
              <w:t>唐山市工商行政管理局</w:t>
            </w:r>
            <w:r>
              <w:rPr>
                <w:rFonts w:ascii="仿宋" w:hAnsi="仿宋" w:eastAsia="仿宋" w:cs="ArialUnicodeMS"/>
                <w:kern w:val="0"/>
                <w:sz w:val="28"/>
                <w:szCs w:val="28"/>
              </w:rPr>
              <w:t>(本级)</w:t>
            </w:r>
          </w:p>
        </w:tc>
        <w:tc>
          <w:tcPr>
            <w:tcW w:w="2444" w:type="dxa"/>
            <w:tcBorders>
              <w:top w:val="single" w:color="000000" w:sz="4" w:space="0"/>
              <w:left w:val="single" w:color="000000" w:sz="4" w:space="0"/>
              <w:bottom w:val="single" w:color="000000" w:sz="4" w:space="0"/>
              <w:right w:val="single" w:color="000000" w:sz="4" w:space="0"/>
            </w:tcBorders>
          </w:tcPr>
          <w:p>
            <w:pPr>
              <w:pStyle w:val="4"/>
              <w:widowControl w:val="0"/>
              <w:bidi w:val="0"/>
              <w:spacing w:beforeLines="0" w:beforeAutospacing="0" w:after="0" w:afterAutospacing="0" w:line="560" w:lineRule="exact"/>
              <w:jc w:val="center"/>
              <w:rPr>
                <w:rFonts w:ascii="仿宋_GB2312" w:hAnsi="仿宋_GB2312" w:eastAsia="仿宋_GB2312" w:cs="ArialUnicodeMS"/>
                <w:kern w:val="0"/>
                <w:sz w:val="28"/>
                <w:szCs w:val="28"/>
              </w:rPr>
            </w:pPr>
            <w:r>
              <w:rPr>
                <w:rFonts w:ascii="仿宋_GB2312" w:hAnsi="仿宋_GB2312" w:eastAsia="仿宋_GB2312" w:cs="ArialUnicodeMS"/>
                <w:kern w:val="0"/>
                <w:sz w:val="28"/>
                <w:szCs w:val="28"/>
              </w:rPr>
              <w:t>行政单位</w:t>
            </w:r>
          </w:p>
        </w:tc>
        <w:tc>
          <w:tcPr>
            <w:tcW w:w="2665" w:type="dxa"/>
            <w:tcBorders>
              <w:top w:val="single" w:color="000000" w:sz="4" w:space="0"/>
              <w:left w:val="single" w:color="000000" w:sz="4" w:space="0"/>
              <w:bottom w:val="single" w:color="000000" w:sz="4" w:space="0"/>
              <w:right w:val="single" w:color="000000" w:sz="4" w:space="0"/>
            </w:tcBorders>
          </w:tcPr>
          <w:p>
            <w:pPr>
              <w:pStyle w:val="4"/>
              <w:widowControl w:val="0"/>
              <w:bidi w:val="0"/>
              <w:spacing w:beforeLines="0" w:beforeAutospacing="0" w:after="0" w:afterAutospacing="0" w:line="560" w:lineRule="exact"/>
              <w:jc w:val="center"/>
              <w:rPr>
                <w:rFonts w:ascii="仿宋_GB2312" w:hAnsi="仿宋_GB2312" w:eastAsia="仿宋_GB2312" w:cs="ArialUnicodeMS"/>
                <w:kern w:val="0"/>
                <w:sz w:val="28"/>
                <w:szCs w:val="28"/>
              </w:rPr>
            </w:pPr>
            <w:r>
              <w:rPr>
                <w:rFonts w:ascii="仿宋_GB2312" w:hAnsi="仿宋_GB2312" w:eastAsia="仿宋_GB2312" w:cs="ArialUnicodeMS"/>
                <w:kern w:val="0"/>
                <w:sz w:val="28"/>
                <w:szCs w:val="28"/>
              </w:rPr>
              <w:t>财政拨款</w:t>
            </w:r>
          </w:p>
        </w:tc>
      </w:tr>
      <w:tr>
        <w:tblPrEx>
          <w:tblCellMar>
            <w:top w:w="0" w:type="dxa"/>
            <w:left w:w="108" w:type="dxa"/>
            <w:bottom w:w="0" w:type="dxa"/>
            <w:right w:w="108" w:type="dxa"/>
          </w:tblCellMar>
        </w:tblPrEx>
        <w:trPr>
          <w:trHeight w:val="596" w:hRule="atLeast"/>
          <w:jc w:val="center"/>
        </w:trPr>
        <w:tc>
          <w:tcPr>
            <w:tcW w:w="984" w:type="dxa"/>
            <w:tcBorders>
              <w:top w:val="single" w:color="000000" w:sz="4" w:space="0"/>
              <w:left w:val="single" w:color="000000" w:sz="4" w:space="0"/>
              <w:bottom w:val="single" w:color="000000" w:sz="4" w:space="0"/>
              <w:right w:val="single" w:color="000000" w:sz="4" w:space="0"/>
            </w:tcBorders>
          </w:tcPr>
          <w:p>
            <w:pPr>
              <w:pStyle w:val="4"/>
              <w:widowControl w:val="0"/>
              <w:bidi w:val="0"/>
              <w:spacing w:beforeLines="0" w:beforeAutospacing="0" w:after="0" w:afterAutospacing="0" w:line="560" w:lineRule="exact"/>
              <w:jc w:val="center"/>
              <w:rPr>
                <w:rFonts w:ascii="仿宋_GB2312" w:hAnsi="仿宋_GB2312" w:eastAsia="仿宋_GB2312" w:cs="ArialUnicodeMS"/>
                <w:kern w:val="0"/>
                <w:sz w:val="28"/>
                <w:szCs w:val="28"/>
              </w:rPr>
            </w:pPr>
            <w:r>
              <w:rPr>
                <w:rFonts w:ascii="仿宋_GB2312" w:hAnsi="仿宋_GB2312" w:eastAsia="仿宋_GB2312" w:cs="ArialUnicodeMS"/>
                <w:kern w:val="0"/>
                <w:sz w:val="28"/>
                <w:szCs w:val="28"/>
              </w:rPr>
              <w:t>2</w:t>
            </w:r>
          </w:p>
        </w:tc>
        <w:tc>
          <w:tcPr>
            <w:tcW w:w="3486" w:type="dxa"/>
            <w:tcBorders>
              <w:top w:val="single" w:color="000000" w:sz="4" w:space="0"/>
              <w:left w:val="single" w:color="000000" w:sz="4" w:space="0"/>
              <w:bottom w:val="single" w:color="000000" w:sz="4" w:space="0"/>
              <w:right w:val="single" w:color="000000" w:sz="4" w:space="0"/>
            </w:tcBorders>
          </w:tcPr>
          <w:p>
            <w:pPr>
              <w:pStyle w:val="4"/>
              <w:widowControl w:val="0"/>
              <w:bidi w:val="0"/>
              <w:spacing w:beforeLines="0" w:beforeAutospacing="0" w:after="0" w:afterAutospacing="0" w:line="560" w:lineRule="exact"/>
              <w:rPr>
                <w:rFonts w:ascii="仿宋" w:hAnsi="仿宋" w:eastAsia="仿宋" w:cs="ArialUnicodeMS"/>
                <w:kern w:val="0"/>
                <w:sz w:val="28"/>
                <w:szCs w:val="28"/>
              </w:rPr>
            </w:pPr>
            <w:r>
              <w:rPr>
                <w:rFonts w:ascii="仿宋" w:hAnsi="仿宋" w:eastAsia="仿宋" w:cs="微软雅黑"/>
                <w:kern w:val="0"/>
                <w:sz w:val="28"/>
                <w:szCs w:val="28"/>
              </w:rPr>
              <w:t>唐山市工商行政管理局</w:t>
            </w:r>
            <w:r>
              <w:rPr>
                <w:rFonts w:ascii="仿宋" w:hAnsi="仿宋" w:eastAsia="仿宋"/>
                <w:sz w:val="28"/>
                <w:szCs w:val="28"/>
              </w:rPr>
              <w:t>高新技术产业开发区分局</w:t>
            </w:r>
          </w:p>
        </w:tc>
        <w:tc>
          <w:tcPr>
            <w:tcW w:w="2444" w:type="dxa"/>
            <w:tcBorders>
              <w:top w:val="single" w:color="000000" w:sz="4" w:space="0"/>
              <w:left w:val="single" w:color="000000" w:sz="4" w:space="0"/>
              <w:bottom w:val="single" w:color="000000" w:sz="4" w:space="0"/>
              <w:right w:val="single" w:color="000000" w:sz="4" w:space="0"/>
            </w:tcBorders>
          </w:tcPr>
          <w:p>
            <w:pPr>
              <w:pStyle w:val="4"/>
              <w:widowControl w:val="0"/>
              <w:bidi w:val="0"/>
              <w:spacing w:beforeLines="0" w:beforeAutospacing="0" w:after="0" w:afterAutospacing="0" w:line="560" w:lineRule="exact"/>
              <w:jc w:val="center"/>
              <w:rPr>
                <w:rFonts w:ascii="仿宋_GB2312" w:hAnsi="仿宋_GB2312" w:eastAsia="仿宋_GB2312" w:cs="ArialUnicodeMS"/>
                <w:kern w:val="0"/>
                <w:sz w:val="28"/>
                <w:szCs w:val="28"/>
              </w:rPr>
            </w:pPr>
            <w:r>
              <w:rPr>
                <w:rFonts w:ascii="仿宋_GB2312" w:hAnsi="仿宋_GB2312" w:eastAsia="仿宋_GB2312" w:cs="ArialUnicodeMS"/>
                <w:kern w:val="0"/>
                <w:sz w:val="28"/>
                <w:szCs w:val="28"/>
              </w:rPr>
              <w:t>行政单位</w:t>
            </w:r>
          </w:p>
        </w:tc>
        <w:tc>
          <w:tcPr>
            <w:tcW w:w="2665" w:type="dxa"/>
            <w:tcBorders>
              <w:top w:val="single" w:color="000000" w:sz="4" w:space="0"/>
              <w:left w:val="single" w:color="000000" w:sz="4" w:space="0"/>
              <w:bottom w:val="single" w:color="000000" w:sz="4" w:space="0"/>
              <w:right w:val="single" w:color="000000" w:sz="4" w:space="0"/>
            </w:tcBorders>
          </w:tcPr>
          <w:p>
            <w:pPr>
              <w:pStyle w:val="4"/>
              <w:widowControl w:val="0"/>
              <w:bidi w:val="0"/>
              <w:spacing w:beforeLines="0" w:beforeAutospacing="0" w:after="0" w:afterAutospacing="0" w:line="560" w:lineRule="exact"/>
              <w:jc w:val="center"/>
              <w:rPr>
                <w:rFonts w:ascii="仿宋_GB2312" w:hAnsi="仿宋_GB2312" w:eastAsia="仿宋_GB2312" w:cs="ArialUnicodeMS"/>
                <w:kern w:val="0"/>
                <w:sz w:val="28"/>
                <w:szCs w:val="28"/>
              </w:rPr>
            </w:pPr>
            <w:r>
              <w:rPr>
                <w:rFonts w:ascii="仿宋_GB2312" w:hAnsi="仿宋_GB2312" w:eastAsia="仿宋_GB2312" w:cs="ArialUnicodeMS"/>
                <w:kern w:val="0"/>
                <w:sz w:val="28"/>
                <w:szCs w:val="28"/>
              </w:rPr>
              <w:t>财政拨款</w:t>
            </w:r>
          </w:p>
        </w:tc>
      </w:tr>
      <w:tr>
        <w:tblPrEx>
          <w:tblCellMar>
            <w:top w:w="0" w:type="dxa"/>
            <w:left w:w="108" w:type="dxa"/>
            <w:bottom w:w="0" w:type="dxa"/>
            <w:right w:w="108" w:type="dxa"/>
          </w:tblCellMar>
        </w:tblPrEx>
        <w:trPr>
          <w:trHeight w:val="596" w:hRule="atLeast"/>
          <w:jc w:val="center"/>
        </w:trPr>
        <w:tc>
          <w:tcPr>
            <w:tcW w:w="984" w:type="dxa"/>
            <w:tcBorders>
              <w:top w:val="single" w:color="000000" w:sz="4" w:space="0"/>
              <w:left w:val="single" w:color="000000" w:sz="4" w:space="0"/>
              <w:bottom w:val="single" w:color="000000" w:sz="4" w:space="0"/>
              <w:right w:val="single" w:color="000000" w:sz="4" w:space="0"/>
            </w:tcBorders>
          </w:tcPr>
          <w:p>
            <w:pPr>
              <w:pStyle w:val="4"/>
              <w:widowControl w:val="0"/>
              <w:bidi w:val="0"/>
              <w:spacing w:beforeLines="0" w:beforeAutospacing="0" w:after="0" w:afterAutospacing="0" w:line="560" w:lineRule="exact"/>
              <w:jc w:val="center"/>
              <w:rPr>
                <w:rFonts w:ascii="仿宋_GB2312" w:hAnsi="仿宋_GB2312" w:eastAsia="仿宋_GB2312" w:cs="ArialUnicodeMS"/>
                <w:kern w:val="0"/>
                <w:sz w:val="28"/>
                <w:szCs w:val="28"/>
              </w:rPr>
            </w:pPr>
            <w:r>
              <w:rPr>
                <w:rFonts w:ascii="仿宋_GB2312" w:hAnsi="仿宋_GB2312" w:eastAsia="仿宋_GB2312" w:cs="ArialUnicodeMS"/>
                <w:kern w:val="0"/>
                <w:sz w:val="28"/>
                <w:szCs w:val="28"/>
              </w:rPr>
              <w:t>3</w:t>
            </w:r>
          </w:p>
        </w:tc>
        <w:tc>
          <w:tcPr>
            <w:tcW w:w="3486" w:type="dxa"/>
            <w:tcBorders>
              <w:top w:val="single" w:color="000000" w:sz="4" w:space="0"/>
              <w:left w:val="single" w:color="000000" w:sz="4" w:space="0"/>
              <w:bottom w:val="single" w:color="000000" w:sz="4" w:space="0"/>
              <w:right w:val="single" w:color="000000" w:sz="4" w:space="0"/>
            </w:tcBorders>
          </w:tcPr>
          <w:p>
            <w:pPr>
              <w:pStyle w:val="4"/>
              <w:widowControl w:val="0"/>
              <w:bidi w:val="0"/>
              <w:spacing w:beforeLines="0" w:beforeAutospacing="0" w:after="0" w:afterAutospacing="0" w:line="560" w:lineRule="exact"/>
              <w:rPr>
                <w:rFonts w:ascii="仿宋" w:hAnsi="仿宋" w:eastAsia="仿宋" w:cs="ArialUnicodeMS"/>
                <w:kern w:val="0"/>
                <w:sz w:val="28"/>
                <w:szCs w:val="28"/>
              </w:rPr>
            </w:pPr>
            <w:r>
              <w:rPr>
                <w:rFonts w:ascii="仿宋" w:hAnsi="仿宋" w:eastAsia="仿宋" w:cs="微软雅黑"/>
                <w:kern w:val="0"/>
                <w:sz w:val="28"/>
                <w:szCs w:val="28"/>
              </w:rPr>
              <w:t>唐山市工商行政管理局</w:t>
            </w:r>
            <w:r>
              <w:rPr>
                <w:rFonts w:ascii="仿宋" w:hAnsi="仿宋" w:eastAsia="仿宋"/>
                <w:sz w:val="28"/>
                <w:szCs w:val="28"/>
              </w:rPr>
              <w:t>海港经济开发区分局</w:t>
            </w:r>
          </w:p>
        </w:tc>
        <w:tc>
          <w:tcPr>
            <w:tcW w:w="2444" w:type="dxa"/>
            <w:tcBorders>
              <w:top w:val="single" w:color="000000" w:sz="4" w:space="0"/>
              <w:left w:val="single" w:color="000000" w:sz="4" w:space="0"/>
              <w:bottom w:val="single" w:color="000000" w:sz="4" w:space="0"/>
              <w:right w:val="single" w:color="000000" w:sz="4" w:space="0"/>
            </w:tcBorders>
          </w:tcPr>
          <w:p>
            <w:pPr>
              <w:pStyle w:val="4"/>
              <w:widowControl w:val="0"/>
              <w:bidi w:val="0"/>
              <w:spacing w:beforeLines="0" w:beforeAutospacing="0" w:after="0" w:afterAutospacing="0" w:line="560" w:lineRule="exact"/>
              <w:jc w:val="center"/>
              <w:rPr>
                <w:rFonts w:ascii="仿宋_GB2312" w:hAnsi="仿宋_GB2312" w:eastAsia="仿宋_GB2312" w:cs="ArialUnicodeMS"/>
                <w:kern w:val="0"/>
                <w:sz w:val="28"/>
                <w:szCs w:val="28"/>
              </w:rPr>
            </w:pPr>
            <w:r>
              <w:rPr>
                <w:rFonts w:ascii="仿宋_GB2312" w:hAnsi="仿宋_GB2312" w:eastAsia="仿宋_GB2312" w:cs="ArialUnicodeMS"/>
                <w:kern w:val="0"/>
                <w:sz w:val="28"/>
                <w:szCs w:val="28"/>
              </w:rPr>
              <w:t>行政单位</w:t>
            </w:r>
          </w:p>
        </w:tc>
        <w:tc>
          <w:tcPr>
            <w:tcW w:w="2665" w:type="dxa"/>
            <w:tcBorders>
              <w:top w:val="single" w:color="000000" w:sz="4" w:space="0"/>
              <w:left w:val="single" w:color="000000" w:sz="4" w:space="0"/>
              <w:bottom w:val="single" w:color="000000" w:sz="4" w:space="0"/>
              <w:right w:val="single" w:color="000000" w:sz="4" w:space="0"/>
            </w:tcBorders>
          </w:tcPr>
          <w:p>
            <w:pPr>
              <w:pStyle w:val="4"/>
              <w:widowControl w:val="0"/>
              <w:bidi w:val="0"/>
              <w:spacing w:beforeLines="0" w:beforeAutospacing="0" w:after="0" w:afterAutospacing="0" w:line="560" w:lineRule="exact"/>
              <w:jc w:val="center"/>
              <w:rPr>
                <w:rFonts w:ascii="仿宋_GB2312" w:hAnsi="仿宋_GB2312" w:eastAsia="仿宋_GB2312" w:cs="ArialUnicodeMS"/>
                <w:kern w:val="0"/>
                <w:sz w:val="28"/>
                <w:szCs w:val="28"/>
              </w:rPr>
            </w:pPr>
            <w:r>
              <w:rPr>
                <w:rFonts w:ascii="仿宋_GB2312" w:hAnsi="仿宋_GB2312" w:eastAsia="仿宋_GB2312" w:cs="ArialUnicodeMS"/>
                <w:kern w:val="0"/>
                <w:sz w:val="28"/>
                <w:szCs w:val="28"/>
              </w:rPr>
              <w:t>财政拨款</w:t>
            </w:r>
          </w:p>
        </w:tc>
      </w:tr>
      <w:tr>
        <w:tblPrEx>
          <w:tblCellMar>
            <w:top w:w="0" w:type="dxa"/>
            <w:left w:w="108" w:type="dxa"/>
            <w:bottom w:w="0" w:type="dxa"/>
            <w:right w:w="108" w:type="dxa"/>
          </w:tblCellMar>
        </w:tblPrEx>
        <w:trPr>
          <w:trHeight w:val="606" w:hRule="atLeast"/>
          <w:jc w:val="center"/>
        </w:trPr>
        <w:tc>
          <w:tcPr>
            <w:tcW w:w="984" w:type="dxa"/>
            <w:tcBorders>
              <w:top w:val="single" w:color="000000" w:sz="4" w:space="0"/>
              <w:left w:val="single" w:color="000000" w:sz="4" w:space="0"/>
              <w:bottom w:val="single" w:color="000000" w:sz="4" w:space="0"/>
              <w:right w:val="single" w:color="000000" w:sz="4" w:space="0"/>
            </w:tcBorders>
          </w:tcPr>
          <w:p>
            <w:pPr>
              <w:pStyle w:val="4"/>
              <w:widowControl w:val="0"/>
              <w:bidi w:val="0"/>
              <w:spacing w:beforeLines="0" w:beforeAutospacing="0" w:after="0" w:afterAutospacing="0" w:line="560" w:lineRule="exact"/>
              <w:jc w:val="center"/>
              <w:rPr>
                <w:rFonts w:ascii="仿宋_GB2312" w:hAnsi="仿宋_GB2312" w:eastAsia="仿宋_GB2312" w:cs="ArialUnicodeMS"/>
                <w:kern w:val="0"/>
                <w:sz w:val="28"/>
                <w:szCs w:val="28"/>
              </w:rPr>
            </w:pPr>
            <w:r>
              <w:rPr>
                <w:rFonts w:ascii="仿宋_GB2312" w:hAnsi="仿宋_GB2312" w:eastAsia="仿宋_GB2312" w:cs="ArialUnicodeMS"/>
                <w:kern w:val="0"/>
                <w:sz w:val="28"/>
                <w:szCs w:val="28"/>
              </w:rPr>
              <w:t>4</w:t>
            </w:r>
          </w:p>
        </w:tc>
        <w:tc>
          <w:tcPr>
            <w:tcW w:w="3486" w:type="dxa"/>
            <w:tcBorders>
              <w:top w:val="single" w:color="000000" w:sz="4" w:space="0"/>
              <w:left w:val="single" w:color="000000" w:sz="4" w:space="0"/>
              <w:bottom w:val="single" w:color="000000" w:sz="4" w:space="0"/>
              <w:right w:val="single" w:color="000000" w:sz="4" w:space="0"/>
            </w:tcBorders>
          </w:tcPr>
          <w:p>
            <w:pPr>
              <w:pStyle w:val="4"/>
              <w:widowControl w:val="0"/>
              <w:bidi w:val="0"/>
              <w:spacing w:beforeLines="0" w:beforeAutospacing="0" w:after="0" w:afterAutospacing="0" w:line="560" w:lineRule="exact"/>
              <w:rPr>
                <w:rFonts w:ascii="仿宋" w:hAnsi="仿宋" w:eastAsia="仿宋" w:cs="ArialUnicodeMS"/>
                <w:kern w:val="0"/>
                <w:sz w:val="28"/>
                <w:szCs w:val="28"/>
              </w:rPr>
            </w:pPr>
            <w:r>
              <w:rPr>
                <w:rFonts w:ascii="仿宋" w:hAnsi="仿宋" w:eastAsia="仿宋" w:cs="微软雅黑"/>
                <w:kern w:val="0"/>
                <w:sz w:val="28"/>
                <w:szCs w:val="28"/>
              </w:rPr>
              <w:t>唐山市工商行政管理局</w:t>
            </w:r>
            <w:r>
              <w:rPr>
                <w:rFonts w:ascii="仿宋" w:hAnsi="仿宋" w:eastAsia="仿宋"/>
                <w:sz w:val="28"/>
                <w:szCs w:val="28"/>
              </w:rPr>
              <w:t>芦台经济开发区分局</w:t>
            </w:r>
          </w:p>
        </w:tc>
        <w:tc>
          <w:tcPr>
            <w:tcW w:w="2444" w:type="dxa"/>
            <w:tcBorders>
              <w:top w:val="single" w:color="000000" w:sz="4" w:space="0"/>
              <w:left w:val="single" w:color="000000" w:sz="4" w:space="0"/>
              <w:bottom w:val="single" w:color="000000" w:sz="4" w:space="0"/>
              <w:right w:val="single" w:color="000000" w:sz="4" w:space="0"/>
            </w:tcBorders>
          </w:tcPr>
          <w:p>
            <w:pPr>
              <w:pStyle w:val="4"/>
              <w:widowControl w:val="0"/>
              <w:bidi w:val="0"/>
              <w:spacing w:beforeLines="0" w:beforeAutospacing="0" w:after="0" w:afterAutospacing="0" w:line="560" w:lineRule="exact"/>
              <w:jc w:val="center"/>
              <w:rPr>
                <w:rFonts w:ascii="仿宋_GB2312" w:hAnsi="仿宋_GB2312" w:eastAsia="仿宋_GB2312" w:cs="ArialUnicodeMS"/>
                <w:kern w:val="0"/>
                <w:sz w:val="28"/>
                <w:szCs w:val="28"/>
              </w:rPr>
            </w:pPr>
            <w:r>
              <w:rPr>
                <w:rFonts w:ascii="仿宋_GB2312" w:hAnsi="仿宋_GB2312" w:eastAsia="仿宋_GB2312" w:cs="ArialUnicodeMS"/>
                <w:kern w:val="0"/>
                <w:sz w:val="28"/>
                <w:szCs w:val="28"/>
              </w:rPr>
              <w:t>行政单位</w:t>
            </w:r>
          </w:p>
        </w:tc>
        <w:tc>
          <w:tcPr>
            <w:tcW w:w="2665" w:type="dxa"/>
            <w:tcBorders>
              <w:top w:val="single" w:color="000000" w:sz="4" w:space="0"/>
              <w:left w:val="single" w:color="000000" w:sz="4" w:space="0"/>
              <w:bottom w:val="single" w:color="000000" w:sz="4" w:space="0"/>
              <w:right w:val="single" w:color="000000" w:sz="4" w:space="0"/>
            </w:tcBorders>
          </w:tcPr>
          <w:p>
            <w:pPr>
              <w:pStyle w:val="4"/>
              <w:widowControl w:val="0"/>
              <w:bidi w:val="0"/>
              <w:spacing w:beforeLines="0" w:beforeAutospacing="0" w:after="0" w:afterAutospacing="0" w:line="560" w:lineRule="exact"/>
              <w:jc w:val="center"/>
              <w:rPr>
                <w:rFonts w:ascii="仿宋_GB2312" w:hAnsi="仿宋_GB2312" w:eastAsia="仿宋_GB2312" w:cs="ArialUnicodeMS"/>
                <w:kern w:val="0"/>
                <w:sz w:val="28"/>
                <w:szCs w:val="28"/>
              </w:rPr>
            </w:pPr>
            <w:r>
              <w:rPr>
                <w:rFonts w:ascii="仿宋_GB2312" w:hAnsi="仿宋_GB2312" w:eastAsia="仿宋_GB2312" w:cs="ArialUnicodeMS"/>
                <w:kern w:val="0"/>
                <w:sz w:val="28"/>
                <w:szCs w:val="28"/>
              </w:rPr>
              <w:t>财政拨款</w:t>
            </w:r>
          </w:p>
        </w:tc>
      </w:tr>
      <w:tr>
        <w:tblPrEx>
          <w:tblCellMar>
            <w:top w:w="0" w:type="dxa"/>
            <w:left w:w="108" w:type="dxa"/>
            <w:bottom w:w="0" w:type="dxa"/>
            <w:right w:w="108" w:type="dxa"/>
          </w:tblCellMar>
        </w:tblPrEx>
        <w:trPr>
          <w:trHeight w:val="606" w:hRule="atLeast"/>
          <w:jc w:val="center"/>
        </w:trPr>
        <w:tc>
          <w:tcPr>
            <w:tcW w:w="984" w:type="dxa"/>
            <w:tcBorders>
              <w:top w:val="single" w:color="000000" w:sz="4" w:space="0"/>
              <w:left w:val="single" w:color="000000" w:sz="4" w:space="0"/>
              <w:bottom w:val="single" w:color="000000" w:sz="4" w:space="0"/>
              <w:right w:val="single" w:color="000000" w:sz="4" w:space="0"/>
            </w:tcBorders>
          </w:tcPr>
          <w:p>
            <w:pPr>
              <w:pStyle w:val="4"/>
              <w:widowControl w:val="0"/>
              <w:bidi w:val="0"/>
              <w:spacing w:beforeLines="0" w:beforeAutospacing="0" w:after="0" w:afterAutospacing="0" w:line="560" w:lineRule="exact"/>
              <w:jc w:val="center"/>
              <w:rPr>
                <w:rFonts w:ascii="仿宋_GB2312" w:hAnsi="仿宋_GB2312" w:eastAsia="仿宋_GB2312" w:cs="ArialUnicodeMS"/>
                <w:kern w:val="0"/>
                <w:sz w:val="28"/>
                <w:szCs w:val="28"/>
              </w:rPr>
            </w:pPr>
            <w:r>
              <w:rPr>
                <w:rFonts w:ascii="仿宋_GB2312" w:hAnsi="仿宋_GB2312" w:eastAsia="仿宋_GB2312" w:cs="ArialUnicodeMS"/>
                <w:kern w:val="0"/>
                <w:sz w:val="28"/>
                <w:szCs w:val="28"/>
              </w:rPr>
              <w:t>5</w:t>
            </w:r>
          </w:p>
        </w:tc>
        <w:tc>
          <w:tcPr>
            <w:tcW w:w="3486" w:type="dxa"/>
            <w:tcBorders>
              <w:top w:val="single" w:color="000000" w:sz="4" w:space="0"/>
              <w:left w:val="single" w:color="000000" w:sz="4" w:space="0"/>
              <w:bottom w:val="single" w:color="000000" w:sz="4" w:space="0"/>
              <w:right w:val="single" w:color="000000" w:sz="4" w:space="0"/>
            </w:tcBorders>
          </w:tcPr>
          <w:p>
            <w:pPr>
              <w:pStyle w:val="4"/>
              <w:widowControl w:val="0"/>
              <w:bidi w:val="0"/>
              <w:spacing w:beforeLines="0" w:beforeAutospacing="0" w:after="0" w:afterAutospacing="0" w:line="560" w:lineRule="exact"/>
              <w:rPr>
                <w:rFonts w:ascii="仿宋" w:hAnsi="仿宋" w:eastAsia="仿宋" w:cs="ArialUnicodeMS"/>
                <w:kern w:val="0"/>
                <w:sz w:val="28"/>
                <w:szCs w:val="28"/>
              </w:rPr>
            </w:pPr>
            <w:r>
              <w:rPr>
                <w:rFonts w:ascii="仿宋" w:hAnsi="仿宋" w:eastAsia="仿宋" w:cs="微软雅黑"/>
                <w:kern w:val="0"/>
                <w:sz w:val="28"/>
                <w:szCs w:val="28"/>
              </w:rPr>
              <w:t>唐山市工商行政管理局</w:t>
            </w:r>
            <w:r>
              <w:rPr>
                <w:rFonts w:ascii="仿宋" w:hAnsi="仿宋" w:eastAsia="仿宋"/>
                <w:sz w:val="28"/>
                <w:szCs w:val="28"/>
              </w:rPr>
              <w:t>汉沽管理区分局</w:t>
            </w:r>
          </w:p>
        </w:tc>
        <w:tc>
          <w:tcPr>
            <w:tcW w:w="2444" w:type="dxa"/>
            <w:tcBorders>
              <w:top w:val="single" w:color="000000" w:sz="4" w:space="0"/>
              <w:left w:val="single" w:color="000000" w:sz="4" w:space="0"/>
              <w:bottom w:val="single" w:color="000000" w:sz="4" w:space="0"/>
              <w:right w:val="single" w:color="000000" w:sz="4" w:space="0"/>
            </w:tcBorders>
          </w:tcPr>
          <w:p>
            <w:pPr>
              <w:pStyle w:val="4"/>
              <w:widowControl w:val="0"/>
              <w:bidi w:val="0"/>
              <w:spacing w:beforeLines="0" w:beforeAutospacing="0" w:after="0" w:afterAutospacing="0" w:line="560" w:lineRule="exact"/>
              <w:jc w:val="center"/>
              <w:rPr>
                <w:rFonts w:ascii="仿宋_GB2312" w:hAnsi="仿宋_GB2312" w:eastAsia="仿宋_GB2312" w:cs="ArialUnicodeMS"/>
                <w:kern w:val="0"/>
                <w:sz w:val="28"/>
                <w:szCs w:val="28"/>
              </w:rPr>
            </w:pPr>
            <w:r>
              <w:rPr>
                <w:rFonts w:ascii="仿宋_GB2312" w:hAnsi="仿宋_GB2312" w:eastAsia="仿宋_GB2312" w:cs="ArialUnicodeMS"/>
                <w:kern w:val="0"/>
                <w:sz w:val="28"/>
                <w:szCs w:val="28"/>
              </w:rPr>
              <w:t>行政单位</w:t>
            </w:r>
          </w:p>
        </w:tc>
        <w:tc>
          <w:tcPr>
            <w:tcW w:w="2665" w:type="dxa"/>
            <w:tcBorders>
              <w:top w:val="single" w:color="000000" w:sz="4" w:space="0"/>
              <w:left w:val="single" w:color="000000" w:sz="4" w:space="0"/>
              <w:bottom w:val="single" w:color="000000" w:sz="4" w:space="0"/>
              <w:right w:val="single" w:color="000000" w:sz="4" w:space="0"/>
            </w:tcBorders>
          </w:tcPr>
          <w:p>
            <w:pPr>
              <w:pStyle w:val="4"/>
              <w:widowControl w:val="0"/>
              <w:bidi w:val="0"/>
              <w:spacing w:beforeLines="0" w:beforeAutospacing="0" w:after="0" w:afterAutospacing="0" w:line="560" w:lineRule="exact"/>
              <w:jc w:val="center"/>
              <w:rPr>
                <w:rFonts w:ascii="仿宋_GB2312" w:hAnsi="仿宋_GB2312" w:eastAsia="仿宋_GB2312" w:cs="ArialUnicodeMS"/>
                <w:kern w:val="0"/>
                <w:sz w:val="28"/>
                <w:szCs w:val="28"/>
              </w:rPr>
            </w:pPr>
            <w:r>
              <w:rPr>
                <w:rFonts w:ascii="仿宋_GB2312" w:hAnsi="仿宋_GB2312" w:eastAsia="仿宋_GB2312" w:cs="ArialUnicodeMS"/>
                <w:kern w:val="0"/>
                <w:sz w:val="28"/>
                <w:szCs w:val="28"/>
              </w:rPr>
              <w:t>财政拨款</w:t>
            </w:r>
          </w:p>
        </w:tc>
      </w:tr>
      <w:tr>
        <w:tblPrEx>
          <w:tblCellMar>
            <w:top w:w="0" w:type="dxa"/>
            <w:left w:w="108" w:type="dxa"/>
            <w:bottom w:w="0" w:type="dxa"/>
            <w:right w:w="108" w:type="dxa"/>
          </w:tblCellMar>
        </w:tblPrEx>
        <w:trPr>
          <w:trHeight w:val="606" w:hRule="atLeast"/>
          <w:jc w:val="center"/>
        </w:trPr>
        <w:tc>
          <w:tcPr>
            <w:tcW w:w="9579" w:type="dxa"/>
            <w:gridSpan w:val="4"/>
            <w:tcBorders>
              <w:top w:val="single" w:color="000000" w:sz="4" w:space="0"/>
            </w:tcBorders>
          </w:tcPr>
          <w:p>
            <w:pPr>
              <w:pStyle w:val="4"/>
              <w:widowControl w:val="0"/>
              <w:bidi w:val="0"/>
              <w:spacing w:beforeLines="0" w:beforeAutospacing="0" w:after="0" w:afterAutospacing="0" w:line="560" w:lineRule="exact"/>
              <w:ind w:firstLine="560" w:firstLineChars="200"/>
              <w:jc w:val="left"/>
              <w:rPr>
                <w:rFonts w:ascii="仿宋_GB2312" w:hAnsi="仿宋_GB2312" w:eastAsia="仿宋_GB2312" w:cs="ArialUnicodeMS"/>
                <w:kern w:val="0"/>
                <w:sz w:val="28"/>
                <w:szCs w:val="28"/>
              </w:rPr>
            </w:pPr>
          </w:p>
        </w:tc>
      </w:tr>
    </w:tbl>
    <w:p>
      <w:pPr>
        <w:pStyle w:val="4"/>
        <w:widowControl/>
        <w:bidi w:val="0"/>
        <w:spacing w:line="580" w:lineRule="exact"/>
        <w:ind w:firstLine="640" w:firstLineChars="200"/>
        <w:rPr>
          <w:rFonts w:ascii="仿宋" w:hAnsi="仿宋" w:eastAsia="仿宋"/>
          <w:sz w:val="32"/>
          <w:szCs w:val="32"/>
        </w:rPr>
      </w:pPr>
      <w:r>
        <w:rPr>
          <w:rFonts w:ascii="仿宋" w:hAnsi="仿宋" w:eastAsia="仿宋"/>
          <w:sz w:val="32"/>
          <w:szCs w:val="32"/>
        </w:rPr>
        <w:t>市工商局局设有11个机关处室（办公室、人事处、财务处、机关党委（机关纪委）、离退休干部处、政法处、执法处、市场处、消保处、商广处、企管处）、3个直属行政机构(注册分局、经检支队、网监分局）、5个派出机构(高新区分局、海港区分局、芦台区分局、汉沽区分局、国际旅游岛分局）和7个直属事业单位（市消费者协会、市个体劳动者协会、市私营企业协会、市维修行业管理办公室、机关服务中心、信息中心、基层教育中心），均为正科级机构。</w:t>
      </w:r>
    </w:p>
    <w:p>
      <w:pPr>
        <w:pStyle w:val="4"/>
        <w:widowControl/>
        <w:bidi w:val="0"/>
        <w:spacing w:line="580" w:lineRule="exact"/>
        <w:ind w:firstLine="640" w:firstLineChars="200"/>
        <w:rPr>
          <w:rFonts w:eastAsia="仿宋_GB2312"/>
          <w:sz w:val="32"/>
          <w:szCs w:val="32"/>
        </w:rPr>
      </w:pPr>
      <w:r>
        <w:rPr>
          <w:rFonts w:ascii="仿宋" w:hAnsi="仿宋" w:eastAsia="仿宋"/>
          <w:sz w:val="32"/>
          <w:szCs w:val="32"/>
        </w:rPr>
        <w:t>市工商局和4个派出机构为独立核算单位,独立编制决算，国际旅游岛工商分局2017年成立，2018年度财务在海港开发区分局核算。</w:t>
      </w:r>
    </w:p>
    <w:p>
      <w:pPr>
        <w:pStyle w:val="4"/>
        <w:bidi w:val="0"/>
        <w:spacing w:beforeLines="0" w:beforeAutospacing="0" w:after="0" w:afterAutospacing="0" w:line="560" w:lineRule="exact"/>
        <w:rPr>
          <w:rFonts w:ascii="仿宋_GB2312" w:hAnsi="仿宋_GB2312" w:eastAsia="仿宋_GB2312" w:cs="ArialUnicodeMS"/>
          <w:kern w:val="0"/>
          <w:sz w:val="32"/>
          <w:szCs w:val="32"/>
        </w:rPr>
      </w:pPr>
    </w:p>
    <w:p>
      <w:pPr>
        <w:pStyle w:val="4"/>
        <w:widowControl/>
        <w:bidi w:val="0"/>
        <w:spacing w:line="560" w:lineRule="exact"/>
        <w:jc w:val="center"/>
        <w:rPr>
          <w:rFonts w:ascii="黑体" w:hAnsi="黑体" w:eastAsia="黑体" w:cs="MS-UIGothic,Bold"/>
          <w:bCs/>
          <w:kern w:val="0"/>
          <w:sz w:val="52"/>
          <w:szCs w:val="52"/>
        </w:rPr>
      </w:pPr>
    </w:p>
    <w:p>
      <w:pPr>
        <w:pStyle w:val="4"/>
        <w:widowControl/>
        <w:bidi w:val="0"/>
        <w:spacing w:line="560" w:lineRule="exact"/>
        <w:jc w:val="center"/>
        <w:rPr>
          <w:rFonts w:ascii="黑体" w:hAnsi="黑体" w:eastAsia="黑体" w:cs="MS-UIGothic,Bold"/>
          <w:bCs/>
          <w:kern w:val="0"/>
          <w:sz w:val="52"/>
          <w:szCs w:val="52"/>
        </w:rPr>
        <w:sectPr>
          <w:pgSz w:w="11906" w:h="16838"/>
          <w:pgMar w:top="2098" w:right="1474" w:bottom="1984" w:left="1588" w:header="0" w:footer="0" w:gutter="0"/>
          <w:pgNumType w:fmt="decimal"/>
          <w:cols w:space="720" w:num="1"/>
          <w:formProt w:val="0"/>
          <w:docGrid w:type="lines" w:linePitch="312" w:charSpace="43007"/>
        </w:sectPr>
      </w:pPr>
    </w:p>
    <w:p>
      <w:pPr>
        <w:pStyle w:val="4"/>
        <w:widowControl/>
        <w:bidi w:val="0"/>
        <w:spacing w:line="560" w:lineRule="exact"/>
        <w:jc w:val="center"/>
        <w:rPr>
          <w:rFonts w:ascii="黑体" w:hAnsi="黑体" w:eastAsia="黑体" w:cs="MS-UIGothic,Bold"/>
          <w:bCs/>
          <w:kern w:val="0"/>
          <w:sz w:val="52"/>
          <w:szCs w:val="52"/>
        </w:rPr>
      </w:pPr>
      <w:r>
        <w:rPr>
          <w:rFonts w:ascii="黑体" w:hAnsi="黑体" w:eastAsia="黑体" w:cs="MS-UIGothic,Bold"/>
          <w:bCs/>
          <w:kern w:val="0"/>
          <w:sz w:val="52"/>
          <w:szCs w:val="52"/>
        </w:rPr>
        <w:drawing>
          <wp:anchor distT="0" distB="0" distL="0" distR="0" simplePos="0" relativeHeight="1024" behindDoc="1" locked="0" layoutInCell="0" allowOverlap="1">
            <wp:simplePos x="0" y="0"/>
            <wp:positionH relativeFrom="column">
              <wp:posOffset>-1021715</wp:posOffset>
            </wp:positionH>
            <wp:positionV relativeFrom="paragraph">
              <wp:posOffset>-1325245</wp:posOffset>
            </wp:positionV>
            <wp:extent cx="7571740" cy="10680700"/>
            <wp:effectExtent l="0" t="0" r="0" b="0"/>
            <wp:wrapNone/>
            <wp:docPr id="15" name="图片 16"/>
            <wp:cNvGraphicFramePr/>
            <a:graphic xmlns:a="http://schemas.openxmlformats.org/drawingml/2006/main">
              <a:graphicData uri="http://schemas.openxmlformats.org/drawingml/2006/picture">
                <pic:pic xmlns:pic="http://schemas.openxmlformats.org/drawingml/2006/picture">
                  <pic:nvPicPr>
                    <pic:cNvPr id="15" name="图片 16"/>
                    <pic:cNvPicPr/>
                  </pic:nvPicPr>
                  <pic:blipFill>
                    <a:blip r:embed="rId6"/>
                    <a:stretch>
                      <a:fillRect/>
                    </a:stretch>
                  </pic:blipFill>
                  <pic:spPr>
                    <a:xfrm>
                      <a:off x="0" y="0"/>
                      <a:ext cx="7571160" cy="10680120"/>
                    </a:xfrm>
                    <a:prstGeom prst="rect">
                      <a:avLst/>
                    </a:prstGeom>
                    <a:ln w="0">
                      <a:noFill/>
                    </a:ln>
                  </pic:spPr>
                </pic:pic>
              </a:graphicData>
            </a:graphic>
          </wp:anchor>
        </w:drawing>
      </w:r>
    </w:p>
    <w:p>
      <w:pPr>
        <w:pStyle w:val="4"/>
        <w:widowControl/>
        <w:bidi w:val="0"/>
        <w:spacing w:line="560" w:lineRule="exact"/>
        <w:jc w:val="center"/>
        <w:rPr>
          <w:rFonts w:ascii="黑体" w:hAnsi="黑体" w:eastAsia="黑体" w:cs="MS-UIGothic,Bold"/>
          <w:bCs/>
          <w:kern w:val="0"/>
          <w:sz w:val="52"/>
          <w:szCs w:val="52"/>
        </w:rPr>
      </w:pPr>
    </w:p>
    <w:p>
      <w:pPr>
        <w:pStyle w:val="4"/>
        <w:bidi w:val="0"/>
        <w:rPr>
          <w:rFonts w:ascii="宋体" w:hAnsi="宋体" w:cs="ArialUnicodeMS"/>
          <w:color w:val="000000"/>
          <w:kern w:val="0"/>
        </w:rPr>
      </w:pPr>
    </w:p>
    <w:p>
      <w:pPr>
        <w:pStyle w:val="4"/>
        <w:widowControl w:val="0"/>
        <w:bidi w:val="0"/>
        <w:spacing w:beforeLines="0" w:beforeAutospacing="0" w:after="160" w:afterAutospacing="0" w:line="480" w:lineRule="auto"/>
        <w:jc w:val="both"/>
        <w:sectPr>
          <w:pgSz w:w="11906" w:h="16838"/>
          <w:pgMar w:top="2098" w:right="1474" w:bottom="1984" w:left="1588" w:header="0" w:footer="0" w:gutter="0"/>
          <w:pgNumType w:fmt="decimal"/>
          <w:cols w:space="720" w:num="1"/>
          <w:formProt w:val="0"/>
          <w:docGrid w:type="lines" w:linePitch="312" w:charSpace="43007"/>
        </w:sectPr>
      </w:pPr>
      <w:r>
        <mc:AlternateContent>
          <mc:Choice Requires="wps">
            <w:drawing>
              <wp:anchor distT="0" distB="0" distL="114300" distR="114300" simplePos="0" relativeHeight="1024" behindDoc="0" locked="0" layoutInCell="0" allowOverlap="1">
                <wp:simplePos x="0" y="0"/>
                <wp:positionH relativeFrom="column">
                  <wp:posOffset>-941070</wp:posOffset>
                </wp:positionH>
                <wp:positionV relativeFrom="paragraph">
                  <wp:posOffset>1527810</wp:posOffset>
                </wp:positionV>
                <wp:extent cx="7560310" cy="202057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7560310" cy="2020570"/>
                        </a:xfrm>
                        <a:prstGeom prst="rect">
                          <a:avLst/>
                        </a:prstGeom>
                        <a:solidFill>
                          <a:srgbClr val="FFFFFF">
                            <a:alpha val="0"/>
                          </a:srgbClr>
                        </a:solidFill>
                      </wps:spPr>
                      <wps:txbx>
                        <w:txbxContent>
                          <w:p>
                            <w:pPr>
                              <w:pStyle w:val="10"/>
                              <w:widowControl/>
                              <w:bidi w:val="0"/>
                              <w:spacing w:line="1200" w:lineRule="exact"/>
                              <w:jc w:val="center"/>
                              <w:rPr>
                                <w:rFonts w:ascii="黑体" w:hAnsi="黑体" w:eastAsia="黑体"/>
                                <w:color w:val="FDEFBE"/>
                                <w:sz w:val="96"/>
                                <w:szCs w:val="96"/>
                              </w:rPr>
                            </w:pPr>
                            <w:r>
                              <w:rPr>
                                <w:rFonts w:ascii="黑体" w:hAnsi="黑体" w:eastAsia="黑体"/>
                                <w:color w:val="FDEFBE"/>
                                <w:sz w:val="96"/>
                                <w:szCs w:val="96"/>
                              </w:rPr>
                              <w:t>第二部分</w:t>
                            </w:r>
                          </w:p>
                          <w:p>
                            <w:pPr>
                              <w:pStyle w:val="10"/>
                              <w:widowControl/>
                              <w:bidi w:val="0"/>
                              <w:spacing w:beforeLines="0" w:beforeAutospacing="0" w:after="160" w:afterAutospacing="0" w:line="1200" w:lineRule="exact"/>
                              <w:jc w:val="center"/>
                              <w:rPr>
                                <w:color w:val="FDEFBE"/>
                                <w:sz w:val="96"/>
                                <w:szCs w:val="96"/>
                              </w:rPr>
                            </w:pPr>
                            <w:r>
                              <w:rPr>
                                <w:rFonts w:ascii="黑体" w:hAnsi="黑体" w:eastAsia="黑体"/>
                                <w:color w:val="FDEFBE"/>
                                <w:sz w:val="96"/>
                                <w:szCs w:val="96"/>
                              </w:rPr>
                              <w:t>2018年度部门决算报表</w:t>
                            </w:r>
                          </w:p>
                        </w:txbxContent>
                      </wps:txbx>
                      <wps:bodyPr lIns="91440" tIns="45720" rIns="91440" bIns="45720" anchor="t">
                        <a:noAutofit/>
                      </wps:bodyPr>
                    </wps:wsp>
                  </a:graphicData>
                </a:graphic>
              </wp:anchor>
            </w:drawing>
          </mc:Choice>
          <mc:Fallback>
            <w:pict>
              <v:shape id="_x0000_s1026" o:spid="_x0000_s1026" o:spt="202" type="#_x0000_t202" style="position:absolute;left:0pt;margin-left:-74.1pt;margin-top:120.3pt;height:159.1pt;width:595.3pt;z-index:1024;mso-width-relative:page;mso-height-relative:page;" fillcolor="#FFFFFF" filled="t" stroked="f" coordsize="21600,21600" o:allowincell="f" o:gfxdata="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czIyr2gAA&#10;AA0BAAAPAAAAAAAAAAEAIAAAADgAAABkcnMvZG93bnJldi54bWxQSwECFAAUAAAACACHTuJAnyHM&#10;BM0BAACBAwAADgAAAAAAAAABACAAAAA/AQAAZHJzL2Uyb0RvYy54bWxQSwUGAAAAAAYABgBZAQAA&#10;fgUAAAAA&#10;">
                <v:fill on="t" opacity="0f" focussize="0,0"/>
                <v:stroke on="f"/>
                <v:imagedata o:title=""/>
                <o:lock v:ext="edit" aspectratio="f"/>
                <v:textbox>
                  <w:txbxContent>
                    <w:p>
                      <w:pPr>
                        <w:pStyle w:val="10"/>
                        <w:widowControl/>
                        <w:bidi w:val="0"/>
                        <w:spacing w:line="1200" w:lineRule="exact"/>
                        <w:jc w:val="center"/>
                        <w:rPr>
                          <w:rFonts w:ascii="黑体" w:hAnsi="黑体" w:eastAsia="黑体"/>
                          <w:color w:val="FDEFBE"/>
                          <w:sz w:val="96"/>
                          <w:szCs w:val="96"/>
                        </w:rPr>
                      </w:pPr>
                      <w:r>
                        <w:rPr>
                          <w:rFonts w:ascii="黑体" w:hAnsi="黑体" w:eastAsia="黑体"/>
                          <w:color w:val="FDEFBE"/>
                          <w:sz w:val="96"/>
                          <w:szCs w:val="96"/>
                        </w:rPr>
                        <w:t>第二部分</w:t>
                      </w:r>
                    </w:p>
                    <w:p>
                      <w:pPr>
                        <w:pStyle w:val="10"/>
                        <w:widowControl/>
                        <w:bidi w:val="0"/>
                        <w:spacing w:beforeLines="0" w:beforeAutospacing="0" w:after="160" w:afterAutospacing="0" w:line="1200" w:lineRule="exact"/>
                        <w:jc w:val="center"/>
                        <w:rPr>
                          <w:color w:val="FDEFBE"/>
                          <w:sz w:val="96"/>
                          <w:szCs w:val="96"/>
                        </w:rPr>
                      </w:pPr>
                      <w:r>
                        <w:rPr>
                          <w:rFonts w:ascii="黑体" w:hAnsi="黑体" w:eastAsia="黑体"/>
                          <w:color w:val="FDEFBE"/>
                          <w:sz w:val="96"/>
                          <w:szCs w:val="96"/>
                        </w:rPr>
                        <w:t>2018年度部门决算报表</w:t>
                      </w:r>
                    </w:p>
                  </w:txbxContent>
                </v:textbox>
              </v:shape>
            </w:pict>
          </mc:Fallback>
        </mc:AlternateContent>
      </w:r>
    </w:p>
    <w:p>
      <w:pPr>
        <w:pStyle w:val="4"/>
        <w:bidi w:val="0"/>
        <w:rPr>
          <w:rFonts w:ascii="宋体" w:hAnsi="宋体" w:cs="ArialUnicodeMS"/>
          <w:color w:val="000000"/>
          <w:kern w:val="0"/>
        </w:rPr>
      </w:pPr>
    </w:p>
    <w:p>
      <w:pPr>
        <w:pStyle w:val="4"/>
        <w:bidi w:val="0"/>
        <w:rPr>
          <w:rFonts w:ascii="宋体" w:hAnsi="宋体" w:cs="ArialUnicodeMS"/>
          <w:color w:val="000000"/>
          <w:kern w:val="0"/>
        </w:rPr>
      </w:pPr>
    </w:p>
    <w:p>
      <w:pPr>
        <w:pStyle w:val="4"/>
        <w:bidi w:val="0"/>
        <w:jc w:val="center"/>
        <w:rPr>
          <w:rFonts w:ascii="仿宋_GB2312" w:hAnsi="仿宋_GB2312" w:eastAsia="仿宋_GB2312"/>
          <w:b/>
          <w:sz w:val="56"/>
          <w:szCs w:val="56"/>
          <w:highlight w:val="yellow"/>
        </w:rPr>
      </w:pPr>
    </w:p>
    <w:tbl>
      <w:tblPr>
        <w:tblStyle w:val="2"/>
        <w:tblW w:w="9320" w:type="dxa"/>
        <w:jc w:val="center"/>
        <w:tblLayout w:type="fixed"/>
        <w:tblCellMar>
          <w:top w:w="15" w:type="dxa"/>
          <w:left w:w="15" w:type="dxa"/>
          <w:bottom w:w="0" w:type="dxa"/>
          <w:right w:w="15" w:type="dxa"/>
        </w:tblCellMar>
      </w:tblPr>
      <w:tblGrid>
        <w:gridCol w:w="335"/>
        <w:gridCol w:w="178"/>
        <w:gridCol w:w="406"/>
        <w:gridCol w:w="1781"/>
        <w:gridCol w:w="185"/>
        <w:gridCol w:w="259"/>
        <w:gridCol w:w="122"/>
        <w:gridCol w:w="630"/>
        <w:gridCol w:w="50"/>
        <w:gridCol w:w="14"/>
        <w:gridCol w:w="245"/>
        <w:gridCol w:w="398"/>
        <w:gridCol w:w="172"/>
        <w:gridCol w:w="113"/>
        <w:gridCol w:w="344"/>
        <w:gridCol w:w="359"/>
        <w:gridCol w:w="245"/>
        <w:gridCol w:w="44"/>
        <w:gridCol w:w="525"/>
        <w:gridCol w:w="42"/>
        <w:gridCol w:w="205"/>
        <w:gridCol w:w="362"/>
        <w:gridCol w:w="289"/>
        <w:gridCol w:w="278"/>
        <w:gridCol w:w="61"/>
        <w:gridCol w:w="227"/>
        <w:gridCol w:w="421"/>
        <w:gridCol w:w="709"/>
        <w:gridCol w:w="320"/>
        <w:gridCol w:w="540"/>
      </w:tblGrid>
      <w:tr>
        <w:tblPrEx>
          <w:tblCellMar>
            <w:top w:w="15" w:type="dxa"/>
            <w:left w:w="15" w:type="dxa"/>
            <w:bottom w:w="0" w:type="dxa"/>
            <w:right w:w="15" w:type="dxa"/>
          </w:tblCellMar>
        </w:tblPrEx>
        <w:trPr>
          <w:gridAfter w:val="1"/>
          <w:wAfter w:w="540" w:type="dxa"/>
          <w:trHeight w:val="567" w:hRule="atLeast"/>
          <w:jc w:val="center"/>
        </w:trPr>
        <w:tc>
          <w:tcPr>
            <w:tcW w:w="9319" w:type="dxa"/>
            <w:gridSpan w:val="29"/>
            <w:vAlign w:val="center"/>
          </w:tcPr>
          <w:p>
            <w:pPr>
              <w:pStyle w:val="4"/>
              <w:widowControl w:val="0"/>
              <w:bidi w:val="0"/>
              <w:spacing w:beforeLines="0" w:beforeAutospacing="0" w:after="0" w:afterAutospacing="0" w:line="440" w:lineRule="exact"/>
              <w:jc w:val="center"/>
              <w:textAlignment w:val="center"/>
              <w:rPr>
                <w:rFonts w:ascii="黑体" w:hAnsi="黑体" w:eastAsia="黑体" w:cs="黑体"/>
                <w:color w:val="000000"/>
                <w:sz w:val="40"/>
                <w:szCs w:val="40"/>
              </w:rPr>
            </w:pPr>
            <w:r>
              <mc:AlternateContent>
                <mc:Choice Requires="wpg">
                  <w:drawing>
                    <wp:anchor distT="0" distB="0" distL="114300" distR="114300" simplePos="0" relativeHeight="1024" behindDoc="1" locked="0" layoutInCell="1" allowOverlap="1">
                      <wp:simplePos x="0" y="0"/>
                      <wp:positionH relativeFrom="column">
                        <wp:posOffset>-890270</wp:posOffset>
                      </wp:positionH>
                      <wp:positionV relativeFrom="page">
                        <wp:posOffset>-1036955</wp:posOffset>
                      </wp:positionV>
                      <wp:extent cx="3089275" cy="525145"/>
                      <wp:effectExtent l="0" t="0" r="0" b="0"/>
                      <wp:wrapNone/>
                      <wp:docPr id="17" name="组合 1041"/>
                      <wp:cNvGraphicFramePr/>
                      <a:graphic xmlns:a="http://schemas.openxmlformats.org/drawingml/2006/main">
                        <a:graphicData uri="http://schemas.microsoft.com/office/word/2010/wordprocessingGroup">
                          <wpg:wgp>
                            <wpg:cNvGrpSpPr/>
                            <wpg:grpSpPr>
                              <a:xfrm>
                                <a:off x="0" y="0"/>
                                <a:ext cx="3088800" cy="524520"/>
                                <a:chOff x="0" y="0"/>
                                <a:chExt cx="3088800" cy="524520"/>
                              </a:xfrm>
                            </wpg:grpSpPr>
                            <wps:wsp>
                              <wps:cNvPr id="18" name="矩形 18"/>
                              <wps:cNvSpPr/>
                              <wps:spPr>
                                <a:xfrm>
                                  <a:off x="0" y="0"/>
                                  <a:ext cx="3088800" cy="440640"/>
                                </a:xfrm>
                                <a:prstGeom prst="rect">
                                  <a:avLst/>
                                </a:prstGeom>
                                <a:solidFill>
                                  <a:srgbClr val="D8D8D8"/>
                                </a:solidFill>
                                <a:ln w="0">
                                  <a:noFill/>
                                </a:ln>
                              </wps:spPr>
                              <wps:bodyPr/>
                            </wps:wsp>
                            <wps:wsp>
                              <wps:cNvPr id="19" name="文本框 19"/>
                              <wps:cNvSpPr txBox="true"/>
                              <wps:spPr>
                                <a:xfrm>
                                  <a:off x="10080" y="102960"/>
                                  <a:ext cx="3008520" cy="421560"/>
                                </a:xfrm>
                                <a:prstGeom prst="rect">
                                  <a:avLst/>
                                </a:prstGeom>
                                <a:solidFill>
                                  <a:srgbClr val="AD002D"/>
                                </a:solidFill>
                                <a:ln w="25560">
                                  <a:solidFill>
                                    <a:srgbClr val="AF7621"/>
                                  </a:solidFill>
                                  <a:round/>
                                </a:ln>
                              </wps:spPr>
                              <wps:txb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2018年度部门决算☞决算报表</w:t>
                                    </w:r>
                                  </w:p>
                                  <w:p>
                                    <w:pPr>
                                      <w:overflowPunct w:val="0"/>
                                      <w:bidi w:val="0"/>
                                      <w:spacing w:beforeLines="0" w:beforeAutospacing="0" w:afterLines="0" w:afterAutospacing="0" w:line="240" w:lineRule="auto"/>
                                      <w:jc w:val="center"/>
                                    </w:pPr>
                                  </w:p>
                                </w:txbxContent>
                              </wps:txbx>
                              <wps:bodyPr wrap="square">
                                <a:noAutofit/>
                              </wps:bodyPr>
                            </wps:wsp>
                          </wpg:wgp>
                        </a:graphicData>
                      </a:graphic>
                    </wp:anchor>
                  </w:drawing>
                </mc:Choice>
                <mc:Fallback>
                  <w:pict>
                    <v:group id="组合 1041" o:spid="_x0000_s1026" o:spt="203" style="position:absolute;left:0pt;margin-left:-70.1pt;margin-top:-81.65pt;height:41.35pt;width:243.25pt;mso-position-vertical-relative:page;z-index:-503315456;mso-width-relative:page;mso-height-relative:page;" coordsize="3088800,524520" o:gfxdata="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ZwB5eNsAAAAN&#10;AQAADwAAAAAAAAABACAAAAA4AAAAZHJzL2Rvd25yZXYueG1sUEsBAhQAFAAAAAgAh07iQHqmR6J1&#10;AgAAQAYAAA4AAAAAAAAAAQAgAAAAQAEAAGRycy9lMm9Eb2MueG1sUEsFBgAAAAAGAAYAWQEAACcG&#10;AAAAAA==&#10;">
                      <o:lock v:ext="edit" aspectratio="f"/>
                      <v:rect id="_x0000_s1026" o:spid="_x0000_s1026" o:spt="1" style="position:absolute;left:0;top:0;height:440640;width:3088800;" fillcolor="#D8D8D8" filled="t" stroked="f" coordsize="21600,21600" o:gfxdata="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rhnXr0AAADbAAAADwAAAAAAAAABACAAAAA4AAAAZHJzL2Rvd25yZXYu&#10;eG1sUEsBAhQAFAAAAAgAh07iQDMvBZ47AAAAOQAAABAAAAAAAAAAAQAgAAAAIgEAAGRycy9zaGFw&#10;ZXhtbC54bWxQSwUGAAAAAAYABgBbAQAAzAMAAAAA&#10;">
                        <v:fill on="t" focussize="0,0"/>
                        <v:stroke on="f" weight="0pt"/>
                        <v:imagedata o:title=""/>
                        <o:lock v:ext="edit" aspectratio="f"/>
                      </v:rect>
                      <v:shape id="_x0000_s1026" o:spid="_x0000_s1026" o:spt="202" type="#_x0000_t202" style="position:absolute;left:10080;top:102960;height:421560;width:3008520;" fillcolor="#AD002D" filled="t" stroked="t" coordsize="21600,21600" o:gfxdata="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KOvyG7AAAA2wAAAA8AAAAAAAAAAQAgAAAAOAAAAGRycy9kb3ducmV2Lnht&#10;bFBLAQIUABQAAAAIAIdO4kAzLwWeOwAAADkAAAAQAAAAAAAAAAEAIAAAACABAABkcnMvc2hhcGV4&#10;bWwueG1sUEsFBgAAAAAGAAYAWwEAAMoDAAAAAA==&#10;">
                        <v:fill on="t" focussize="0,0"/>
                        <v:stroke weight="2.01259842519685pt" color="#AF7621" joinstyle="round"/>
                        <v:imagedata o:title=""/>
                        <o:lock v:ext="edit" aspectratio="f"/>
                        <v:textbo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2018年度部门决算☞决算报表</w:t>
                              </w:r>
                            </w:p>
                            <w:p>
                              <w:pPr>
                                <w:overflowPunct w:val="0"/>
                                <w:bidi w:val="0"/>
                                <w:spacing w:beforeLines="0" w:beforeAutospacing="0" w:afterLines="0" w:afterAutospacing="0" w:line="240" w:lineRule="auto"/>
                                <w:jc w:val="center"/>
                              </w:pPr>
                            </w:p>
                          </w:txbxContent>
                        </v:textbox>
                      </v:shape>
                    </v:group>
                  </w:pict>
                </mc:Fallback>
              </mc:AlternateContent>
            </w:r>
            <w:r>
              <w:rPr>
                <w:rFonts w:ascii="黑体" w:hAnsi="黑体" w:eastAsia="黑体" w:cs="黑体"/>
                <w:color w:val="000000"/>
                <w:kern w:val="0"/>
                <w:sz w:val="40"/>
                <w:szCs w:val="40"/>
              </w:rPr>
              <w:t>收入支出决算总表</w:t>
            </w:r>
          </w:p>
        </w:tc>
      </w:tr>
      <w:tr>
        <w:tblPrEx>
          <w:tblCellMar>
            <w:top w:w="15" w:type="dxa"/>
            <w:left w:w="15" w:type="dxa"/>
            <w:bottom w:w="0" w:type="dxa"/>
            <w:right w:w="15" w:type="dxa"/>
          </w:tblCellMar>
        </w:tblPrEx>
        <w:trPr>
          <w:gridAfter w:val="1"/>
          <w:wAfter w:w="540" w:type="dxa"/>
          <w:trHeight w:val="321" w:hRule="atLeast"/>
          <w:jc w:val="center"/>
        </w:trPr>
        <w:tc>
          <w:tcPr>
            <w:tcW w:w="2700" w:type="dxa"/>
            <w:gridSpan w:val="4"/>
            <w:vAlign w:val="center"/>
          </w:tcPr>
          <w:p>
            <w:pPr>
              <w:pStyle w:val="4"/>
              <w:widowControl w:val="0"/>
              <w:bidi w:val="0"/>
              <w:spacing w:beforeLines="0" w:beforeAutospacing="0" w:after="0" w:afterAutospacing="0" w:line="240" w:lineRule="exact"/>
              <w:rPr>
                <w:rFonts w:ascii="Arial" w:hAnsi="Arial" w:cs="Arial"/>
                <w:color w:val="000000"/>
                <w:sz w:val="20"/>
                <w:szCs w:val="20"/>
              </w:rPr>
            </w:pPr>
          </w:p>
        </w:tc>
        <w:tc>
          <w:tcPr>
            <w:tcW w:w="566" w:type="dxa"/>
            <w:gridSpan w:val="3"/>
            <w:vAlign w:val="center"/>
          </w:tcPr>
          <w:p>
            <w:pPr>
              <w:pStyle w:val="4"/>
              <w:widowControl w:val="0"/>
              <w:bidi w:val="0"/>
              <w:spacing w:beforeLines="0" w:beforeAutospacing="0" w:after="0" w:afterAutospacing="0" w:line="240" w:lineRule="exact"/>
              <w:rPr>
                <w:rFonts w:ascii="Arial" w:hAnsi="Arial" w:cs="Arial"/>
                <w:color w:val="000000"/>
                <w:sz w:val="20"/>
                <w:szCs w:val="20"/>
              </w:rPr>
            </w:pPr>
          </w:p>
        </w:tc>
        <w:tc>
          <w:tcPr>
            <w:tcW w:w="1337" w:type="dxa"/>
            <w:gridSpan w:val="5"/>
            <w:vAlign w:val="center"/>
          </w:tcPr>
          <w:p>
            <w:pPr>
              <w:pStyle w:val="4"/>
              <w:widowControl w:val="0"/>
              <w:bidi w:val="0"/>
              <w:spacing w:beforeLines="0" w:beforeAutospacing="0" w:after="0" w:afterAutospacing="0" w:line="240" w:lineRule="exact"/>
              <w:rPr>
                <w:rFonts w:ascii="Arial" w:hAnsi="Arial" w:cs="Arial"/>
                <w:color w:val="000000"/>
                <w:sz w:val="20"/>
                <w:szCs w:val="20"/>
              </w:rPr>
            </w:pPr>
          </w:p>
        </w:tc>
        <w:tc>
          <w:tcPr>
            <w:tcW w:w="2700" w:type="dxa"/>
            <w:gridSpan w:val="11"/>
            <w:vAlign w:val="center"/>
          </w:tcPr>
          <w:p>
            <w:pPr>
              <w:pStyle w:val="4"/>
              <w:widowControl w:val="0"/>
              <w:bidi w:val="0"/>
              <w:spacing w:beforeLines="0" w:beforeAutospacing="0" w:after="0" w:afterAutospacing="0" w:line="240" w:lineRule="exact"/>
              <w:rPr>
                <w:rFonts w:ascii="Arial" w:hAnsi="Arial" w:cs="Arial"/>
                <w:color w:val="000000"/>
                <w:sz w:val="20"/>
                <w:szCs w:val="20"/>
              </w:rPr>
            </w:pPr>
          </w:p>
        </w:tc>
        <w:tc>
          <w:tcPr>
            <w:tcW w:w="566" w:type="dxa"/>
            <w:gridSpan w:val="3"/>
            <w:vAlign w:val="center"/>
          </w:tcPr>
          <w:p>
            <w:pPr>
              <w:pStyle w:val="4"/>
              <w:widowControl w:val="0"/>
              <w:bidi w:val="0"/>
              <w:spacing w:beforeLines="0" w:beforeAutospacing="0" w:after="0" w:afterAutospacing="0" w:line="240" w:lineRule="exact"/>
              <w:rPr>
                <w:rFonts w:ascii="Arial" w:hAnsi="Arial" w:cs="Arial"/>
                <w:color w:val="000000"/>
                <w:sz w:val="20"/>
                <w:szCs w:val="20"/>
              </w:rPr>
            </w:pPr>
          </w:p>
        </w:tc>
        <w:tc>
          <w:tcPr>
            <w:tcW w:w="1450" w:type="dxa"/>
            <w:gridSpan w:val="3"/>
            <w:vAlign w:val="center"/>
          </w:tcPr>
          <w:p>
            <w:pPr>
              <w:pStyle w:val="4"/>
              <w:widowControl w:val="0"/>
              <w:bidi w:val="0"/>
              <w:spacing w:beforeLines="0" w:beforeAutospacing="0" w:after="0" w:afterAutospacing="0" w:line="240" w:lineRule="exact"/>
              <w:jc w:val="right"/>
              <w:textAlignment w:val="center"/>
              <w:rPr>
                <w:rFonts w:ascii="宋体" w:hAnsi="宋体" w:cs="宋体"/>
                <w:color w:val="000000"/>
                <w:sz w:val="20"/>
                <w:szCs w:val="20"/>
              </w:rPr>
            </w:pPr>
            <w:r>
              <w:rPr>
                <w:rFonts w:ascii="宋体" w:hAnsi="宋体" w:cs="宋体"/>
                <w:color w:val="000000"/>
                <w:kern w:val="0"/>
                <w:sz w:val="20"/>
                <w:szCs w:val="20"/>
              </w:rPr>
              <w:t>公开01表</w:t>
            </w:r>
          </w:p>
        </w:tc>
      </w:tr>
      <w:tr>
        <w:tblPrEx>
          <w:tblCellMar>
            <w:top w:w="15" w:type="dxa"/>
            <w:left w:w="15" w:type="dxa"/>
            <w:bottom w:w="0" w:type="dxa"/>
            <w:right w:w="15" w:type="dxa"/>
          </w:tblCellMar>
        </w:tblPrEx>
        <w:trPr>
          <w:gridAfter w:val="1"/>
          <w:wAfter w:w="540" w:type="dxa"/>
          <w:trHeight w:val="418" w:hRule="atLeast"/>
          <w:jc w:val="center"/>
        </w:trPr>
        <w:tc>
          <w:tcPr>
            <w:tcW w:w="2700" w:type="dxa"/>
            <w:gridSpan w:val="4"/>
            <w:vAlign w:val="center"/>
          </w:tcPr>
          <w:p>
            <w:pPr>
              <w:pStyle w:val="4"/>
              <w:widowControl w:val="0"/>
              <w:bidi w:val="0"/>
              <w:spacing w:beforeLines="0" w:beforeAutospacing="0" w:after="0" w:afterAutospacing="0" w:line="240" w:lineRule="exact"/>
              <w:jc w:val="left"/>
              <w:textAlignment w:val="center"/>
              <w:rPr>
                <w:rFonts w:ascii="宋体" w:hAnsi="宋体" w:cs="宋体"/>
                <w:color w:val="000000"/>
                <w:sz w:val="20"/>
                <w:szCs w:val="20"/>
              </w:rPr>
            </w:pPr>
            <w:r>
              <w:rPr>
                <w:rFonts w:ascii="宋体" w:hAnsi="宋体" w:cs="宋体"/>
                <w:color w:val="000000"/>
                <w:kern w:val="0"/>
                <w:sz w:val="20"/>
                <w:szCs w:val="20"/>
              </w:rPr>
              <w:t>部门：唐山市工商行政管理局</w:t>
            </w:r>
          </w:p>
        </w:tc>
        <w:tc>
          <w:tcPr>
            <w:tcW w:w="566" w:type="dxa"/>
            <w:gridSpan w:val="3"/>
            <w:vAlign w:val="center"/>
          </w:tcPr>
          <w:p>
            <w:pPr>
              <w:pStyle w:val="4"/>
              <w:widowControl w:val="0"/>
              <w:bidi w:val="0"/>
              <w:spacing w:beforeLines="0" w:beforeAutospacing="0" w:after="0" w:afterAutospacing="0" w:line="240" w:lineRule="exact"/>
              <w:rPr>
                <w:rFonts w:ascii="宋体" w:hAnsi="宋体" w:cs="宋体"/>
                <w:color w:val="000000"/>
                <w:sz w:val="20"/>
                <w:szCs w:val="20"/>
              </w:rPr>
            </w:pPr>
          </w:p>
        </w:tc>
        <w:tc>
          <w:tcPr>
            <w:tcW w:w="1337" w:type="dxa"/>
            <w:gridSpan w:val="5"/>
            <w:vAlign w:val="center"/>
          </w:tcPr>
          <w:p>
            <w:pPr>
              <w:pStyle w:val="4"/>
              <w:widowControl w:val="0"/>
              <w:bidi w:val="0"/>
              <w:spacing w:beforeLines="0" w:beforeAutospacing="0" w:after="0" w:afterAutospacing="0" w:line="240" w:lineRule="exact"/>
              <w:rPr>
                <w:rFonts w:ascii="宋体" w:hAnsi="宋体" w:cs="宋体"/>
                <w:color w:val="000000"/>
                <w:sz w:val="20"/>
                <w:szCs w:val="20"/>
              </w:rPr>
            </w:pPr>
          </w:p>
        </w:tc>
        <w:tc>
          <w:tcPr>
            <w:tcW w:w="2700" w:type="dxa"/>
            <w:gridSpan w:val="11"/>
            <w:vAlign w:val="center"/>
          </w:tcPr>
          <w:p>
            <w:pPr>
              <w:pStyle w:val="4"/>
              <w:widowControl w:val="0"/>
              <w:bidi w:val="0"/>
              <w:spacing w:beforeLines="0" w:beforeAutospacing="0" w:after="0" w:afterAutospacing="0" w:line="240" w:lineRule="exact"/>
              <w:rPr>
                <w:rFonts w:ascii="宋体" w:hAnsi="宋体" w:cs="宋体"/>
                <w:color w:val="000000"/>
                <w:sz w:val="20"/>
                <w:szCs w:val="20"/>
              </w:rPr>
            </w:pPr>
          </w:p>
        </w:tc>
        <w:tc>
          <w:tcPr>
            <w:tcW w:w="566" w:type="dxa"/>
            <w:gridSpan w:val="3"/>
            <w:vAlign w:val="center"/>
          </w:tcPr>
          <w:p>
            <w:pPr>
              <w:pStyle w:val="4"/>
              <w:widowControl w:val="0"/>
              <w:bidi w:val="0"/>
              <w:spacing w:beforeLines="0" w:beforeAutospacing="0" w:after="0" w:afterAutospacing="0" w:line="240" w:lineRule="exact"/>
              <w:rPr>
                <w:rFonts w:ascii="宋体" w:hAnsi="宋体" w:cs="宋体"/>
                <w:color w:val="000000"/>
                <w:sz w:val="20"/>
                <w:szCs w:val="20"/>
              </w:rPr>
            </w:pPr>
          </w:p>
        </w:tc>
        <w:tc>
          <w:tcPr>
            <w:tcW w:w="1450" w:type="dxa"/>
            <w:gridSpan w:val="3"/>
            <w:vAlign w:val="center"/>
          </w:tcPr>
          <w:p>
            <w:pPr>
              <w:pStyle w:val="4"/>
              <w:widowControl w:val="0"/>
              <w:bidi w:val="0"/>
              <w:spacing w:beforeLines="0" w:beforeAutospacing="0" w:after="0" w:afterAutospacing="0" w:line="240" w:lineRule="exact"/>
              <w:jc w:val="right"/>
              <w:textAlignment w:val="center"/>
              <w:rPr>
                <w:rFonts w:ascii="宋体" w:hAnsi="宋体" w:cs="宋体"/>
                <w:color w:val="000000"/>
                <w:sz w:val="20"/>
                <w:szCs w:val="20"/>
              </w:rPr>
            </w:pPr>
            <w:r>
              <w:rPr>
                <w:rFonts w:ascii="宋体" w:hAnsi="宋体" w:cs="宋体"/>
                <w:color w:val="000000"/>
                <w:kern w:val="0"/>
                <w:sz w:val="20"/>
                <w:szCs w:val="20"/>
              </w:rPr>
              <w:t>金额单位：万元</w:t>
            </w:r>
          </w:p>
        </w:tc>
      </w:tr>
      <w:tr>
        <w:tblPrEx>
          <w:tblCellMar>
            <w:top w:w="15" w:type="dxa"/>
            <w:left w:w="15" w:type="dxa"/>
            <w:bottom w:w="0" w:type="dxa"/>
            <w:right w:w="15" w:type="dxa"/>
          </w:tblCellMar>
        </w:tblPrEx>
        <w:trPr>
          <w:gridAfter w:val="1"/>
          <w:wAfter w:w="540" w:type="dxa"/>
          <w:trHeight w:val="295" w:hRule="atLeast"/>
          <w:jc w:val="center"/>
        </w:trPr>
        <w:tc>
          <w:tcPr>
            <w:tcW w:w="4603" w:type="dxa"/>
            <w:gridSpan w:val="12"/>
            <w:tcBorders>
              <w:top w:val="single" w:color="000000" w:sz="4" w:space="0"/>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exact"/>
              <w:jc w:val="center"/>
              <w:textAlignment w:val="center"/>
              <w:rPr>
                <w:rFonts w:ascii="宋体" w:hAnsi="宋体" w:cs="宋体"/>
                <w:color w:val="000000"/>
                <w:sz w:val="22"/>
                <w:szCs w:val="22"/>
              </w:rPr>
            </w:pPr>
            <w:r>
              <w:rPr>
                <w:rFonts w:ascii="宋体" w:hAnsi="宋体" w:cs="宋体"/>
                <w:color w:val="000000"/>
                <w:kern w:val="0"/>
                <w:sz w:val="22"/>
                <w:szCs w:val="22"/>
              </w:rPr>
              <w:t>收入</w:t>
            </w:r>
          </w:p>
        </w:tc>
        <w:tc>
          <w:tcPr>
            <w:tcW w:w="4716" w:type="dxa"/>
            <w:gridSpan w:val="17"/>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exact"/>
              <w:jc w:val="center"/>
              <w:textAlignment w:val="center"/>
              <w:rPr>
                <w:rFonts w:ascii="宋体" w:hAnsi="宋体" w:cs="宋体"/>
                <w:color w:val="000000"/>
                <w:sz w:val="22"/>
                <w:szCs w:val="22"/>
              </w:rPr>
            </w:pPr>
            <w:r>
              <w:rPr>
                <w:rFonts w:ascii="宋体" w:hAnsi="宋体" w:cs="宋体"/>
                <w:color w:val="000000"/>
                <w:kern w:val="0"/>
                <w:sz w:val="22"/>
                <w:szCs w:val="22"/>
              </w:rPr>
              <w:t>支出</w:t>
            </w:r>
          </w:p>
        </w:tc>
      </w:tr>
      <w:tr>
        <w:tblPrEx>
          <w:tblCellMar>
            <w:top w:w="15" w:type="dxa"/>
            <w:left w:w="15" w:type="dxa"/>
            <w:bottom w:w="0" w:type="dxa"/>
            <w:right w:w="15" w:type="dxa"/>
          </w:tblCellMar>
        </w:tblPrEx>
        <w:trPr>
          <w:gridAfter w:val="1"/>
          <w:wAfter w:w="540" w:type="dxa"/>
          <w:trHeight w:val="295"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exact"/>
              <w:jc w:val="center"/>
              <w:textAlignment w:val="center"/>
              <w:rPr>
                <w:rFonts w:ascii="宋体" w:hAnsi="宋体" w:cs="宋体"/>
                <w:color w:val="000000"/>
                <w:sz w:val="22"/>
                <w:szCs w:val="22"/>
              </w:rPr>
            </w:pPr>
            <w:r>
              <w:rPr>
                <w:rFonts w:ascii="宋体" w:hAnsi="宋体" w:cs="宋体"/>
                <w:color w:val="000000"/>
                <w:kern w:val="0"/>
                <w:sz w:val="22"/>
                <w:szCs w:val="22"/>
              </w:rPr>
              <w:t>项目</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exact"/>
              <w:jc w:val="center"/>
              <w:textAlignment w:val="center"/>
              <w:rPr>
                <w:rFonts w:ascii="宋体" w:hAnsi="宋体" w:cs="宋体"/>
                <w:color w:val="000000"/>
                <w:sz w:val="22"/>
                <w:szCs w:val="22"/>
              </w:rPr>
            </w:pPr>
            <w:r>
              <w:rPr>
                <w:rFonts w:ascii="宋体" w:hAnsi="宋体" w:cs="宋体"/>
                <w:color w:val="000000"/>
                <w:kern w:val="0"/>
                <w:sz w:val="22"/>
                <w:szCs w:val="22"/>
              </w:rPr>
              <w:t>行次</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exact"/>
              <w:jc w:val="center"/>
              <w:textAlignment w:val="center"/>
              <w:rPr>
                <w:rFonts w:ascii="宋体" w:hAnsi="宋体" w:cs="宋体"/>
                <w:color w:val="000000"/>
                <w:sz w:val="22"/>
                <w:szCs w:val="22"/>
              </w:rPr>
            </w:pPr>
            <w:r>
              <w:rPr>
                <w:rFonts w:ascii="宋体" w:hAnsi="宋体" w:cs="宋体"/>
                <w:color w:val="000000"/>
                <w:kern w:val="0"/>
                <w:sz w:val="22"/>
                <w:szCs w:val="22"/>
              </w:rPr>
              <w:t>金额</w:t>
            </w: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40" w:lineRule="exact"/>
              <w:jc w:val="center"/>
              <w:textAlignment w:val="center"/>
              <w:rPr>
                <w:rFonts w:ascii="宋体" w:hAnsi="宋体" w:cs="宋体"/>
                <w:color w:val="000000"/>
                <w:sz w:val="22"/>
                <w:szCs w:val="22"/>
              </w:rPr>
            </w:pPr>
            <w:r>
              <w:rPr>
                <w:rFonts w:ascii="宋体" w:hAnsi="宋体" w:cs="宋体"/>
                <w:color w:val="000000"/>
                <w:kern w:val="0"/>
                <w:sz w:val="22"/>
                <w:szCs w:val="22"/>
              </w:rPr>
              <w:t>项目</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exact"/>
              <w:jc w:val="center"/>
              <w:textAlignment w:val="center"/>
              <w:rPr>
                <w:rFonts w:ascii="宋体" w:hAnsi="宋体" w:cs="宋体"/>
                <w:color w:val="000000"/>
                <w:sz w:val="22"/>
                <w:szCs w:val="22"/>
              </w:rPr>
            </w:pPr>
            <w:r>
              <w:rPr>
                <w:rFonts w:ascii="宋体" w:hAnsi="宋体" w:cs="宋体"/>
                <w:color w:val="000000"/>
                <w:kern w:val="0"/>
                <w:sz w:val="22"/>
                <w:szCs w:val="22"/>
              </w:rPr>
              <w:t>行次</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exact"/>
              <w:jc w:val="center"/>
              <w:textAlignment w:val="center"/>
              <w:rPr>
                <w:rFonts w:ascii="宋体" w:hAnsi="宋体" w:cs="宋体"/>
                <w:color w:val="000000"/>
                <w:sz w:val="22"/>
                <w:szCs w:val="22"/>
              </w:rPr>
            </w:pPr>
            <w:r>
              <w:rPr>
                <w:rFonts w:ascii="宋体" w:hAnsi="宋体" w:cs="宋体"/>
                <w:color w:val="000000"/>
                <w:kern w:val="0"/>
                <w:sz w:val="22"/>
                <w:szCs w:val="22"/>
              </w:rPr>
              <w:t>金额</w:t>
            </w:r>
          </w:p>
        </w:tc>
      </w:tr>
      <w:tr>
        <w:tblPrEx>
          <w:tblCellMar>
            <w:top w:w="15" w:type="dxa"/>
            <w:left w:w="15" w:type="dxa"/>
            <w:bottom w:w="0" w:type="dxa"/>
            <w:right w:w="15" w:type="dxa"/>
          </w:tblCellMar>
        </w:tblPrEx>
        <w:trPr>
          <w:gridAfter w:val="1"/>
          <w:wAfter w:w="540" w:type="dxa"/>
          <w:trHeight w:val="295"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exact"/>
              <w:jc w:val="center"/>
              <w:textAlignment w:val="center"/>
              <w:rPr>
                <w:rFonts w:ascii="宋体" w:hAnsi="宋体" w:cs="宋体"/>
                <w:color w:val="000000"/>
                <w:sz w:val="20"/>
                <w:szCs w:val="20"/>
              </w:rPr>
            </w:pPr>
            <w:r>
              <w:rPr>
                <w:rFonts w:ascii="宋体" w:hAnsi="宋体" w:cs="宋体"/>
                <w:color w:val="000000"/>
                <w:kern w:val="0"/>
                <w:sz w:val="20"/>
                <w:szCs w:val="20"/>
              </w:rPr>
              <w:t>栏次</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exact"/>
              <w:jc w:val="center"/>
              <w:rPr>
                <w:rFonts w:ascii="宋体" w:hAnsi="宋体" w:cs="宋体"/>
                <w:color w:val="000000"/>
                <w:sz w:val="20"/>
                <w:szCs w:val="20"/>
              </w:rPr>
            </w:pP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exact"/>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40" w:lineRule="exact"/>
              <w:jc w:val="center"/>
              <w:textAlignment w:val="center"/>
              <w:rPr>
                <w:rFonts w:ascii="宋体" w:hAnsi="宋体" w:cs="宋体"/>
                <w:color w:val="000000"/>
                <w:sz w:val="20"/>
                <w:szCs w:val="20"/>
              </w:rPr>
            </w:pPr>
            <w:r>
              <w:rPr>
                <w:rFonts w:ascii="宋体" w:hAnsi="宋体" w:cs="宋体"/>
                <w:color w:val="000000"/>
                <w:kern w:val="0"/>
                <w:sz w:val="20"/>
                <w:szCs w:val="20"/>
              </w:rPr>
              <w:t>栏次</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exact"/>
              <w:jc w:val="center"/>
              <w:rPr>
                <w:rFonts w:ascii="宋体" w:hAnsi="宋体" w:cs="宋体"/>
                <w:color w:val="000000"/>
                <w:sz w:val="20"/>
                <w:szCs w:val="20"/>
              </w:rPr>
            </w:pP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exact"/>
              <w:jc w:val="center"/>
              <w:textAlignment w:val="center"/>
              <w:rPr>
                <w:rFonts w:ascii="宋体" w:hAnsi="宋体" w:cs="宋体"/>
                <w:color w:val="000000"/>
                <w:sz w:val="20"/>
                <w:szCs w:val="20"/>
              </w:rPr>
            </w:pPr>
            <w:r>
              <w:rPr>
                <w:rFonts w:ascii="宋体" w:hAnsi="宋体" w:cs="宋体"/>
                <w:color w:val="000000"/>
                <w:kern w:val="0"/>
                <w:sz w:val="20"/>
                <w:szCs w:val="20"/>
              </w:rPr>
              <w:t>2</w:t>
            </w:r>
          </w:p>
        </w:tc>
      </w:tr>
      <w:tr>
        <w:tblPrEx>
          <w:tblCellMar>
            <w:top w:w="15" w:type="dxa"/>
            <w:left w:w="15" w:type="dxa"/>
            <w:bottom w:w="0" w:type="dxa"/>
            <w:right w:w="15" w:type="dxa"/>
          </w:tblCellMar>
        </w:tblPrEx>
        <w:trPr>
          <w:gridAfter w:val="1"/>
          <w:wAfter w:w="540" w:type="dxa"/>
          <w:trHeight w:val="365"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一、财政拨款收入</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r>
              <w:rPr>
                <w:rFonts w:ascii="宋体" w:hAnsi="宋体" w:cs="宋体"/>
                <w:color w:val="000000"/>
                <w:sz w:val="20"/>
                <w:szCs w:val="20"/>
              </w:rPr>
              <w:t>6,024.39</w:t>
            </w: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一、一般公共服务支出</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28</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r>
              <w:rPr>
                <w:rFonts w:ascii="宋体" w:hAnsi="宋体" w:cs="宋体"/>
                <w:color w:val="000000"/>
                <w:sz w:val="20"/>
                <w:szCs w:val="20"/>
              </w:rPr>
              <w:t>4,847.53</w:t>
            </w: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二、上级补助收入</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2</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二、外交支出</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29</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三、事业收入</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3</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三、国防支出</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30</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四、经营收入</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4</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四、公共安全支出</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31</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五、附属单位上缴收入</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5</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五、教育支出</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32</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r>
              <w:rPr>
                <w:rFonts w:ascii="宋体" w:hAnsi="宋体" w:cs="宋体"/>
                <w:color w:val="000000"/>
                <w:sz w:val="20"/>
                <w:szCs w:val="20"/>
              </w:rPr>
              <w:t>29.74</w:t>
            </w: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六、其他收入</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6</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r>
              <w:rPr>
                <w:rFonts w:ascii="宋体" w:hAnsi="宋体" w:cs="宋体"/>
                <w:color w:val="000000"/>
                <w:sz w:val="20"/>
                <w:szCs w:val="20"/>
              </w:rPr>
              <w:t>6.00</w:t>
            </w: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六、科学技术支出</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33</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rPr>
                <w:rFonts w:ascii="宋体" w:hAnsi="宋体" w:cs="宋体"/>
                <w:color w:val="000000"/>
                <w:sz w:val="20"/>
                <w:szCs w:val="20"/>
              </w:rPr>
            </w:pP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7</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七、文化体育与传媒支出</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34</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rPr>
                <w:rFonts w:ascii="宋体" w:hAnsi="宋体" w:cs="宋体"/>
                <w:color w:val="000000"/>
                <w:sz w:val="20"/>
                <w:szCs w:val="20"/>
              </w:rPr>
            </w:pP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8</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八、社会保障和就业支出</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35</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r>
              <w:rPr>
                <w:rFonts w:ascii="宋体" w:hAnsi="宋体" w:cs="宋体"/>
                <w:color w:val="000000"/>
                <w:sz w:val="20"/>
                <w:szCs w:val="20"/>
              </w:rPr>
              <w:t>341.40</w:t>
            </w: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rPr>
                <w:rFonts w:ascii="宋体" w:hAnsi="宋体" w:cs="宋体"/>
                <w:color w:val="000000"/>
                <w:sz w:val="20"/>
                <w:szCs w:val="20"/>
              </w:rPr>
            </w:pP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9</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九、医疗卫生与计划生育支出</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36</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r>
              <w:rPr>
                <w:rFonts w:ascii="宋体" w:hAnsi="宋体" w:cs="宋体"/>
                <w:color w:val="000000"/>
                <w:sz w:val="20"/>
                <w:szCs w:val="20"/>
              </w:rPr>
              <w:t>374.49</w:t>
            </w: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rPr>
                <w:rFonts w:ascii="宋体" w:hAnsi="宋体" w:cs="宋体"/>
                <w:color w:val="000000"/>
                <w:sz w:val="20"/>
                <w:szCs w:val="20"/>
              </w:rPr>
            </w:pP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10</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十、节能环保支出</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37</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rPr>
                <w:rFonts w:ascii="宋体" w:hAnsi="宋体" w:cs="宋体"/>
                <w:color w:val="000000"/>
                <w:sz w:val="20"/>
                <w:szCs w:val="20"/>
              </w:rPr>
            </w:pP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11</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十一、城乡社区支出</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38</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rPr>
                <w:rFonts w:ascii="宋体" w:hAnsi="宋体" w:cs="宋体"/>
                <w:color w:val="000000"/>
                <w:sz w:val="20"/>
                <w:szCs w:val="20"/>
              </w:rPr>
            </w:pP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12</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十二、农林水支出</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39</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rPr>
                <w:rFonts w:ascii="宋体" w:hAnsi="宋体" w:cs="宋体"/>
                <w:color w:val="000000"/>
                <w:sz w:val="20"/>
                <w:szCs w:val="20"/>
              </w:rPr>
            </w:pP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13</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十三、交通运输支出</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40</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rPr>
                <w:rFonts w:ascii="宋体" w:hAnsi="宋体" w:cs="宋体"/>
                <w:color w:val="000000"/>
                <w:sz w:val="20"/>
                <w:szCs w:val="20"/>
              </w:rPr>
            </w:pP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14</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十四、资源勘探信息等支出</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41</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rPr>
                <w:rFonts w:ascii="宋体" w:hAnsi="宋体" w:cs="宋体"/>
                <w:color w:val="000000"/>
                <w:sz w:val="20"/>
                <w:szCs w:val="20"/>
              </w:rPr>
            </w:pP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15</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十五、商业服务业等支出</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42</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rPr>
                <w:rFonts w:ascii="宋体" w:hAnsi="宋体" w:cs="宋体"/>
                <w:color w:val="000000"/>
                <w:sz w:val="20"/>
                <w:szCs w:val="20"/>
              </w:rPr>
            </w:pP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16</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十六、金融支出</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43</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rPr>
                <w:rFonts w:ascii="宋体" w:hAnsi="宋体" w:cs="宋体"/>
                <w:color w:val="000000"/>
                <w:sz w:val="20"/>
                <w:szCs w:val="20"/>
              </w:rPr>
            </w:pP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17</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十七、援助其他地区支出</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44</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rPr>
                <w:rFonts w:ascii="宋体" w:hAnsi="宋体" w:cs="宋体"/>
                <w:color w:val="000000"/>
                <w:sz w:val="20"/>
                <w:szCs w:val="20"/>
              </w:rPr>
            </w:pP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18</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十八、国土海洋气象等支出</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45</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rPr>
                <w:rFonts w:ascii="宋体" w:hAnsi="宋体" w:cs="宋体"/>
                <w:color w:val="000000"/>
                <w:sz w:val="20"/>
                <w:szCs w:val="20"/>
              </w:rPr>
            </w:pP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19</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十九、住房保障支出</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46</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r>
              <w:rPr>
                <w:rFonts w:ascii="宋体" w:hAnsi="宋体" w:cs="宋体"/>
                <w:color w:val="000000"/>
                <w:sz w:val="20"/>
                <w:szCs w:val="20"/>
              </w:rPr>
              <w:t>211.05</w:t>
            </w: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rPr>
                <w:rFonts w:ascii="宋体" w:hAnsi="宋体" w:cs="宋体"/>
                <w:color w:val="000000"/>
                <w:sz w:val="20"/>
                <w:szCs w:val="20"/>
              </w:rPr>
            </w:pP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20</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二十、粮油物资储备支出</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47</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rPr>
                <w:rFonts w:ascii="宋体" w:hAnsi="宋体" w:cs="宋体"/>
                <w:color w:val="000000"/>
                <w:sz w:val="20"/>
                <w:szCs w:val="20"/>
              </w:rPr>
            </w:pP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21</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二十一、其他支出</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48</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rPr>
                <w:rFonts w:ascii="宋体" w:hAnsi="宋体" w:cs="宋体"/>
                <w:color w:val="000000"/>
                <w:sz w:val="20"/>
                <w:szCs w:val="20"/>
              </w:rPr>
            </w:pP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22</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二十二、债务还本支出</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49</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rPr>
                <w:rFonts w:ascii="宋体" w:hAnsi="宋体" w:cs="宋体"/>
                <w:color w:val="000000"/>
                <w:sz w:val="20"/>
                <w:szCs w:val="20"/>
              </w:rPr>
            </w:pP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23</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二十三、债务付息支出</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50</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本年收入合计</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24</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18"/>
                <w:szCs w:val="18"/>
              </w:rPr>
            </w:pPr>
            <w:r>
              <w:rPr>
                <w:rFonts w:ascii="宋体" w:hAnsi="宋体" w:cs="宋体"/>
                <w:color w:val="000000"/>
                <w:sz w:val="18"/>
                <w:szCs w:val="18"/>
              </w:rPr>
              <w:t>6,030.39</w:t>
            </w: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本年支出合计</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51</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r>
              <w:rPr>
                <w:rFonts w:ascii="宋体" w:hAnsi="宋体" w:cs="宋体"/>
                <w:color w:val="000000"/>
                <w:sz w:val="20"/>
                <w:szCs w:val="20"/>
              </w:rPr>
              <w:t>5,804.21</w:t>
            </w:r>
          </w:p>
        </w:tc>
      </w:tr>
      <w:tr>
        <w:tblPrEx>
          <w:tblCellMar>
            <w:top w:w="15" w:type="dxa"/>
            <w:left w:w="15" w:type="dxa"/>
            <w:bottom w:w="0" w:type="dxa"/>
            <w:right w:w="15" w:type="dxa"/>
          </w:tblCellMar>
        </w:tblPrEx>
        <w:trPr>
          <w:gridAfter w:val="1"/>
          <w:wAfter w:w="540" w:type="dxa"/>
          <w:trHeight w:val="385"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用事业基金弥补收支差额</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25</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18"/>
                <w:szCs w:val="18"/>
              </w:rPr>
            </w:pP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结余分配</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52</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年初结转和结余</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26</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18"/>
                <w:szCs w:val="18"/>
              </w:rPr>
            </w:pPr>
            <w:r>
              <w:rPr>
                <w:rFonts w:ascii="宋体" w:hAnsi="宋体" w:cs="宋体"/>
                <w:color w:val="000000"/>
                <w:sz w:val="18"/>
                <w:szCs w:val="18"/>
              </w:rPr>
              <w:t>47.76</w:t>
            </w: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 w:val="20"/>
                <w:szCs w:val="20"/>
              </w:rPr>
            </w:pPr>
            <w:r>
              <w:rPr>
                <w:rFonts w:ascii="宋体" w:hAnsi="宋体" w:cs="宋体"/>
                <w:color w:val="000000"/>
                <w:kern w:val="0"/>
                <w:sz w:val="20"/>
                <w:szCs w:val="20"/>
              </w:rPr>
              <w:t>年末结转和结余</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53</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r>
              <w:rPr>
                <w:rFonts w:ascii="宋体" w:hAnsi="宋体" w:cs="宋体"/>
                <w:color w:val="000000"/>
                <w:sz w:val="20"/>
                <w:szCs w:val="20"/>
              </w:rPr>
              <w:t>273.94</w:t>
            </w:r>
          </w:p>
        </w:tc>
      </w:tr>
      <w:tr>
        <w:tblPrEx>
          <w:tblCellMar>
            <w:top w:w="15" w:type="dxa"/>
            <w:left w:w="15" w:type="dxa"/>
            <w:bottom w:w="0" w:type="dxa"/>
            <w:right w:w="15" w:type="dxa"/>
          </w:tblCellMar>
        </w:tblPrEx>
        <w:trPr>
          <w:gridAfter w:val="1"/>
          <w:wAfter w:w="540" w:type="dxa"/>
          <w:trHeight w:val="337" w:hRule="atLeast"/>
          <w:jc w:val="center"/>
        </w:trPr>
        <w:tc>
          <w:tcPr>
            <w:tcW w:w="2700"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b/>
                <w:color w:val="000000"/>
                <w:sz w:val="20"/>
                <w:szCs w:val="20"/>
              </w:rPr>
            </w:pPr>
            <w:r>
              <w:rPr>
                <w:rFonts w:ascii="宋体" w:hAnsi="宋体" w:cs="宋体"/>
                <w:b/>
                <w:color w:val="000000"/>
                <w:kern w:val="0"/>
                <w:sz w:val="20"/>
                <w:szCs w:val="20"/>
              </w:rPr>
              <w:t>总计</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27</w:t>
            </w:r>
          </w:p>
        </w:tc>
        <w:tc>
          <w:tcPr>
            <w:tcW w:w="133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18"/>
                <w:szCs w:val="18"/>
              </w:rPr>
            </w:pPr>
            <w:r>
              <w:rPr>
                <w:rFonts w:ascii="宋体" w:hAnsi="宋体" w:cs="宋体"/>
                <w:color w:val="000000"/>
                <w:sz w:val="18"/>
                <w:szCs w:val="18"/>
              </w:rPr>
              <w:t>6,078.15</w:t>
            </w:r>
          </w:p>
        </w:tc>
        <w:tc>
          <w:tcPr>
            <w:tcW w:w="2700" w:type="dxa"/>
            <w:gridSpan w:val="11"/>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b/>
                <w:color w:val="000000"/>
                <w:sz w:val="20"/>
                <w:szCs w:val="20"/>
              </w:rPr>
            </w:pPr>
            <w:r>
              <w:rPr>
                <w:rFonts w:ascii="宋体" w:hAnsi="宋体" w:cs="宋体"/>
                <w:b/>
                <w:color w:val="000000"/>
                <w:kern w:val="0"/>
                <w:sz w:val="20"/>
                <w:szCs w:val="20"/>
              </w:rPr>
              <w:t>总计</w:t>
            </w:r>
          </w:p>
        </w:tc>
        <w:tc>
          <w:tcPr>
            <w:tcW w:w="566"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center"/>
              <w:textAlignment w:val="center"/>
              <w:rPr>
                <w:rFonts w:ascii="宋体" w:hAnsi="宋体" w:cs="宋体"/>
                <w:color w:val="000000"/>
                <w:sz w:val="20"/>
                <w:szCs w:val="20"/>
              </w:rPr>
            </w:pPr>
            <w:r>
              <w:rPr>
                <w:rFonts w:ascii="宋体" w:hAnsi="宋体" w:cs="宋体"/>
                <w:color w:val="000000"/>
                <w:kern w:val="0"/>
                <w:sz w:val="20"/>
                <w:szCs w:val="20"/>
              </w:rPr>
              <w:t>54</w:t>
            </w:r>
          </w:p>
        </w:tc>
        <w:tc>
          <w:tcPr>
            <w:tcW w:w="1450"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00" w:lineRule="exact"/>
              <w:jc w:val="right"/>
              <w:rPr>
                <w:rFonts w:ascii="宋体" w:hAnsi="宋体" w:cs="宋体"/>
                <w:color w:val="000000"/>
                <w:sz w:val="20"/>
                <w:szCs w:val="20"/>
              </w:rPr>
            </w:pPr>
            <w:r>
              <w:rPr>
                <w:rFonts w:ascii="宋体" w:hAnsi="宋体" w:cs="宋体"/>
                <w:color w:val="000000"/>
                <w:sz w:val="20"/>
                <w:szCs w:val="20"/>
              </w:rPr>
              <w:t>6,078.15</w:t>
            </w:r>
          </w:p>
        </w:tc>
      </w:tr>
      <w:tr>
        <w:tblPrEx>
          <w:tblCellMar>
            <w:top w:w="15" w:type="dxa"/>
            <w:left w:w="15" w:type="dxa"/>
            <w:bottom w:w="0" w:type="dxa"/>
            <w:right w:w="15" w:type="dxa"/>
          </w:tblCellMar>
        </w:tblPrEx>
        <w:trPr>
          <w:gridAfter w:val="1"/>
          <w:wAfter w:w="540" w:type="dxa"/>
          <w:trHeight w:val="417" w:hRule="atLeast"/>
          <w:jc w:val="center"/>
        </w:trPr>
        <w:tc>
          <w:tcPr>
            <w:tcW w:w="9319" w:type="dxa"/>
            <w:gridSpan w:val="29"/>
            <w:vAlign w:val="center"/>
          </w:tcPr>
          <w:p>
            <w:pPr>
              <w:pStyle w:val="4"/>
              <w:widowControl w:val="0"/>
              <w:bidi w:val="0"/>
              <w:spacing w:beforeLines="0" w:beforeAutospacing="0" w:after="0" w:afterAutospacing="0" w:line="200" w:lineRule="exact"/>
              <w:jc w:val="left"/>
              <w:textAlignment w:val="center"/>
              <w:rPr>
                <w:rFonts w:ascii="宋体" w:hAnsi="宋体" w:cs="宋体"/>
                <w:color w:val="000000"/>
                <w:szCs w:val="21"/>
              </w:rPr>
            </w:pPr>
            <w:r>
              <w:rPr>
                <w:rFonts w:ascii="宋体" w:hAnsi="宋体" w:cs="宋体"/>
                <w:color w:val="000000"/>
                <w:kern w:val="0"/>
                <w:szCs w:val="21"/>
              </w:rPr>
              <w:t>注：本表反映部门本年度的总收支和年末结转结余情况。</w:t>
            </w:r>
          </w:p>
        </w:tc>
      </w:tr>
      <w:tr>
        <w:tblPrEx>
          <w:tblCellMar>
            <w:top w:w="15" w:type="dxa"/>
            <w:left w:w="15" w:type="dxa"/>
            <w:bottom w:w="0" w:type="dxa"/>
            <w:right w:w="15" w:type="dxa"/>
          </w:tblCellMar>
        </w:tblPrEx>
        <w:trPr>
          <w:trHeight w:val="770" w:hRule="atLeast"/>
          <w:jc w:val="center"/>
        </w:trPr>
        <w:tc>
          <w:tcPr>
            <w:tcW w:w="8999" w:type="dxa"/>
            <w:gridSpan w:val="28"/>
            <w:vAlign w:val="bottom"/>
          </w:tcPr>
          <w:p>
            <w:pPr>
              <w:pStyle w:val="4"/>
              <w:widowControl w:val="0"/>
              <w:bidi w:val="0"/>
              <w:spacing w:beforeLines="0" w:beforeAutospacing="0" w:after="160" w:afterAutospacing="0"/>
              <w:jc w:val="center"/>
              <w:textAlignment w:val="bottom"/>
              <w:rPr>
                <w:rFonts w:ascii="黑体" w:hAnsi="黑体" w:eastAsia="黑体" w:cs="黑体"/>
                <w:color w:val="000000"/>
                <w:sz w:val="40"/>
                <w:szCs w:val="40"/>
              </w:rPr>
            </w:pPr>
            <w:r>
              <w:rPr>
                <w:rFonts w:ascii="黑体" w:hAnsi="黑体" w:eastAsia="黑体" w:cs="黑体"/>
                <w:color w:val="000000"/>
                <w:kern w:val="0"/>
                <w:sz w:val="40"/>
                <w:szCs w:val="40"/>
              </w:rPr>
              <w:t>收入决</w:t>
            </w:r>
            <w:r>
              <mc:AlternateContent>
                <mc:Choice Requires="wpg">
                  <w:drawing>
                    <wp:anchor distT="0" distB="0" distL="114300" distR="114300" simplePos="0" relativeHeight="1024" behindDoc="1" locked="0" layoutInCell="1" allowOverlap="1">
                      <wp:simplePos x="0" y="0"/>
                      <wp:positionH relativeFrom="column">
                        <wp:posOffset>-1049020</wp:posOffset>
                      </wp:positionH>
                      <wp:positionV relativeFrom="page">
                        <wp:posOffset>-1027430</wp:posOffset>
                      </wp:positionV>
                      <wp:extent cx="3089275" cy="525780"/>
                      <wp:effectExtent l="0" t="0" r="0" b="0"/>
                      <wp:wrapNone/>
                      <wp:docPr id="20" name="组合 1044"/>
                      <wp:cNvGraphicFramePr/>
                      <a:graphic xmlns:a="http://schemas.openxmlformats.org/drawingml/2006/main">
                        <a:graphicData uri="http://schemas.microsoft.com/office/word/2010/wordprocessingGroup">
                          <wpg:wgp>
                            <wpg:cNvGrpSpPr/>
                            <wpg:grpSpPr>
                              <a:xfrm>
                                <a:off x="0" y="0"/>
                                <a:ext cx="3088800" cy="525240"/>
                                <a:chOff x="0" y="0"/>
                                <a:chExt cx="3088800" cy="525240"/>
                              </a:xfrm>
                            </wpg:grpSpPr>
                            <wps:wsp>
                              <wps:cNvPr id="21" name="矩形 21"/>
                              <wps:cNvSpPr/>
                              <wps:spPr>
                                <a:xfrm>
                                  <a:off x="0" y="0"/>
                                  <a:ext cx="3088800" cy="440640"/>
                                </a:xfrm>
                                <a:prstGeom prst="rect">
                                  <a:avLst/>
                                </a:prstGeom>
                                <a:solidFill>
                                  <a:srgbClr val="D8D8D8"/>
                                </a:solidFill>
                                <a:ln w="0">
                                  <a:noFill/>
                                </a:ln>
                              </wps:spPr>
                              <wps:bodyPr/>
                            </wps:wsp>
                            <wps:wsp>
                              <wps:cNvPr id="22" name="文本框 22"/>
                              <wps:cNvSpPr txBox="true"/>
                              <wps:spPr>
                                <a:xfrm>
                                  <a:off x="10080" y="103680"/>
                                  <a:ext cx="3008520" cy="421560"/>
                                </a:xfrm>
                                <a:prstGeom prst="rect">
                                  <a:avLst/>
                                </a:prstGeom>
                                <a:solidFill>
                                  <a:srgbClr val="AD002D"/>
                                </a:solidFill>
                                <a:ln w="25560">
                                  <a:solidFill>
                                    <a:srgbClr val="AF7621"/>
                                  </a:solidFill>
                                  <a:round/>
                                </a:ln>
                              </wps:spPr>
                              <wps:txb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2018年度部门决算☞决算报表</w:t>
                                    </w:r>
                                  </w:p>
                                  <w:p>
                                    <w:pPr>
                                      <w:overflowPunct w:val="0"/>
                                      <w:bidi w:val="0"/>
                                      <w:spacing w:beforeLines="0" w:beforeAutospacing="0" w:afterLines="0" w:afterAutospacing="0" w:line="240" w:lineRule="auto"/>
                                      <w:jc w:val="center"/>
                                    </w:pPr>
                                  </w:p>
                                </w:txbxContent>
                              </wps:txbx>
                              <wps:bodyPr wrap="square">
                                <a:noAutofit/>
                              </wps:bodyPr>
                            </wps:wsp>
                          </wpg:wgp>
                        </a:graphicData>
                      </a:graphic>
                    </wp:anchor>
                  </w:drawing>
                </mc:Choice>
                <mc:Fallback>
                  <w:pict>
                    <v:group id="组合 1044" o:spid="_x0000_s1026" o:spt="203" style="position:absolute;left:0pt;margin-left:-82.6pt;margin-top:-80.9pt;height:41.4pt;width:243.25pt;mso-position-vertical-relative:page;z-index:-503315456;mso-width-relative:page;mso-height-relative:page;" coordsize="3088800,525240" o:gfxdata="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c0I4YtsAAAAN&#10;AQAADwAAAAAAAAABACAAAAA4AAAAZHJzL2Rvd25yZXYueG1sUEsBAhQAFAAAAAgAh07iQK9DqWl1&#10;AgAAQAYAAA4AAAAAAAAAAQAgAAAAQAEAAGRycy9lMm9Eb2MueG1sUEsFBgAAAAAGAAYAWQEAACcG&#10;AAAAAA==&#10;">
                      <o:lock v:ext="edit" aspectratio="f"/>
                      <v:rect id="_x0000_s1026" o:spid="_x0000_s1026" o:spt="1" style="position:absolute;left:0;top:0;height:440640;width:3088800;" fillcolor="#D8D8D8" filled="t" stroked="f" coordsize="21600,21600" o:gfxdata="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J7gR+vAAAANsAAAAPAAAAAAAAAAEAIAAAADgAAABkcnMvZG93bnJldi54&#10;bWxQSwECFAAUAAAACACHTuJAMy8FnjsAAAA5AAAAEAAAAAAAAAABACAAAAAhAQAAZHJzL3NoYXBl&#10;eG1sLnhtbFBLBQYAAAAABgAGAFsBAADLAwAAAAA=&#10;">
                        <v:fill on="t" focussize="0,0"/>
                        <v:stroke on="f" weight="0pt"/>
                        <v:imagedata o:title=""/>
                        <o:lock v:ext="edit" aspectratio="f"/>
                      </v:rect>
                      <v:shape id="_x0000_s1026" o:spid="_x0000_s1026" o:spt="202" type="#_x0000_t202" style="position:absolute;left:10080;top:103680;height:421560;width:3008520;" fillcolor="#AD002D" filled="t" stroked="t" coordsize="21600,21600" o:gfxdata="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yRuftvwAAANsAAAAPAAAAAAAAAAEAIAAAADgAAABkcnMvZG93bnJl&#10;di54bWxQSwECFAAUAAAACACHTuJAMy8FnjsAAAA5AAAAEAAAAAAAAAABACAAAAAkAQAAZHJzL3No&#10;YXBleG1sLnhtbFBLBQYAAAAABgAGAFsBAADOAwAAAAA=&#10;">
                        <v:fill on="t" focussize="0,0"/>
                        <v:stroke weight="2.01259842519685pt" color="#AF7621" joinstyle="round"/>
                        <v:imagedata o:title=""/>
                        <o:lock v:ext="edit" aspectratio="f"/>
                        <v:textbo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2018年度部门决算☞决算报表</w:t>
                              </w:r>
                            </w:p>
                            <w:p>
                              <w:pPr>
                                <w:overflowPunct w:val="0"/>
                                <w:bidi w:val="0"/>
                                <w:spacing w:beforeLines="0" w:beforeAutospacing="0" w:afterLines="0" w:afterAutospacing="0" w:line="240" w:lineRule="auto"/>
                                <w:jc w:val="center"/>
                              </w:pPr>
                            </w:p>
                          </w:txbxContent>
                        </v:textbox>
                      </v:shape>
                    </v:group>
                  </w:pict>
                </mc:Fallback>
              </mc:AlternateContent>
            </w:r>
            <w:r>
              <w:rPr>
                <w:rFonts w:ascii="黑体" w:hAnsi="黑体" w:eastAsia="黑体" w:cs="黑体"/>
                <w:color w:val="000000"/>
                <w:kern w:val="0"/>
                <w:sz w:val="40"/>
                <w:szCs w:val="40"/>
              </w:rPr>
              <w:t>算表</w:t>
            </w: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2" w:hRule="atLeast"/>
          <w:jc w:val="center"/>
        </w:trPr>
        <w:tc>
          <w:tcPr>
            <w:tcW w:w="335" w:type="dxa"/>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178" w:type="dxa"/>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406" w:type="dxa"/>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2977" w:type="dxa"/>
            <w:gridSpan w:val="5"/>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50" w:type="dxa"/>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259" w:type="dxa"/>
            <w:gridSpan w:val="2"/>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1027" w:type="dxa"/>
            <w:gridSpan w:val="4"/>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604" w:type="dxa"/>
            <w:gridSpan w:val="2"/>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816" w:type="dxa"/>
            <w:gridSpan w:val="4"/>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990" w:type="dxa"/>
            <w:gridSpan w:val="4"/>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2217" w:type="dxa"/>
            <w:gridSpan w:val="5"/>
            <w:vAlign w:val="center"/>
          </w:tcPr>
          <w:p>
            <w:pPr>
              <w:pStyle w:val="4"/>
              <w:widowControl w:val="0"/>
              <w:bidi w:val="0"/>
              <w:spacing w:beforeLines="0" w:beforeAutospacing="0" w:after="0" w:afterAutospacing="0" w:line="240" w:lineRule="atLeast"/>
              <w:ind w:right="420"/>
              <w:textAlignment w:val="center"/>
              <w:rPr>
                <w:rFonts w:ascii="宋体" w:hAnsi="宋体" w:cs="宋体"/>
                <w:color w:val="000000"/>
                <w:szCs w:val="21"/>
              </w:rPr>
            </w:pPr>
            <w:r>
              <w:rPr>
                <w:rFonts w:ascii="宋体" w:hAnsi="宋体" w:cs="宋体"/>
                <w:color w:val="000000"/>
                <w:kern w:val="0"/>
                <w:szCs w:val="21"/>
              </w:rPr>
              <w:t>公开02表</w:t>
            </w:r>
          </w:p>
        </w:tc>
      </w:tr>
      <w:tr>
        <w:tblPrEx>
          <w:tblCellMar>
            <w:top w:w="15" w:type="dxa"/>
            <w:left w:w="15" w:type="dxa"/>
            <w:bottom w:w="0" w:type="dxa"/>
            <w:right w:w="15" w:type="dxa"/>
          </w:tblCellMar>
        </w:tblPrEx>
        <w:trPr>
          <w:trHeight w:val="362" w:hRule="atLeast"/>
          <w:jc w:val="center"/>
        </w:trPr>
        <w:tc>
          <w:tcPr>
            <w:tcW w:w="2885" w:type="dxa"/>
            <w:gridSpan w:val="5"/>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Cs w:val="21"/>
              </w:rPr>
            </w:pPr>
            <w:r>
              <w:rPr>
                <w:rFonts w:ascii="宋体" w:hAnsi="宋体" w:cs="宋体"/>
                <w:color w:val="000000"/>
                <w:kern w:val="0"/>
                <w:szCs w:val="21"/>
              </w:rPr>
              <w:t>部门：</w:t>
            </w:r>
            <w:r>
              <w:rPr>
                <w:rFonts w:ascii="宋体" w:hAnsi="宋体" w:cs="宋体"/>
                <w:color w:val="000000"/>
                <w:kern w:val="0"/>
                <w:sz w:val="20"/>
                <w:szCs w:val="20"/>
              </w:rPr>
              <w:t>唐山市工商行政管理局</w:t>
            </w:r>
          </w:p>
        </w:tc>
        <w:tc>
          <w:tcPr>
            <w:tcW w:w="259" w:type="dxa"/>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816" w:type="dxa"/>
            <w:gridSpan w:val="4"/>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815" w:type="dxa"/>
            <w:gridSpan w:val="3"/>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816" w:type="dxa"/>
            <w:gridSpan w:val="3"/>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814" w:type="dxa"/>
            <w:gridSpan w:val="3"/>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2594" w:type="dxa"/>
            <w:gridSpan w:val="9"/>
            <w:vAlign w:val="center"/>
          </w:tcPr>
          <w:p>
            <w:pPr>
              <w:pStyle w:val="4"/>
              <w:widowControl w:val="0"/>
              <w:bidi w:val="0"/>
              <w:spacing w:beforeLines="0" w:beforeAutospacing="0" w:after="0" w:afterAutospacing="0" w:line="240" w:lineRule="atLeast"/>
              <w:ind w:right="210"/>
              <w:jc w:val="right"/>
              <w:textAlignment w:val="center"/>
              <w:rPr>
                <w:rFonts w:ascii="宋体" w:hAnsi="宋体" w:cs="宋体"/>
                <w:color w:val="000000"/>
                <w:szCs w:val="21"/>
              </w:rPr>
            </w:pPr>
            <w:r>
              <w:rPr>
                <w:rFonts w:ascii="宋体" w:hAnsi="宋体" w:cs="宋体"/>
                <w:color w:val="000000"/>
                <w:kern w:val="0"/>
                <w:szCs w:val="21"/>
              </w:rPr>
              <w:t>金额单位：万元</w:t>
            </w: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25" w:hRule="atLeast"/>
          <w:jc w:val="center"/>
        </w:trPr>
        <w:tc>
          <w:tcPr>
            <w:tcW w:w="3896" w:type="dxa"/>
            <w:gridSpan w:val="8"/>
            <w:tcBorders>
              <w:top w:val="single" w:color="000000" w:sz="4" w:space="0"/>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20"/>
                <w:szCs w:val="20"/>
              </w:rPr>
            </w:pPr>
            <w:r>
              <w:rPr>
                <w:rFonts w:ascii="宋体" w:hAnsi="宋体" w:cs="宋体"/>
                <w:color w:val="000000"/>
                <w:kern w:val="0"/>
                <w:sz w:val="20"/>
                <w:szCs w:val="20"/>
              </w:rPr>
              <w:t>项目</w:t>
            </w:r>
          </w:p>
        </w:tc>
        <w:tc>
          <w:tcPr>
            <w:tcW w:w="992" w:type="dxa"/>
            <w:gridSpan w:val="6"/>
            <w:vMerge w:val="restart"/>
            <w:tcBorders>
              <w:top w:val="single" w:color="000000" w:sz="4" w:space="0"/>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20"/>
                <w:szCs w:val="20"/>
              </w:rPr>
            </w:pPr>
            <w:r>
              <w:rPr>
                <w:rFonts w:ascii="宋体" w:hAnsi="宋体" w:cs="宋体"/>
                <w:color w:val="000000"/>
                <w:kern w:val="0"/>
                <w:sz w:val="20"/>
                <w:szCs w:val="20"/>
              </w:rPr>
              <w:t>本年收入合计</w:t>
            </w:r>
          </w:p>
        </w:tc>
        <w:tc>
          <w:tcPr>
            <w:tcW w:w="992" w:type="dxa"/>
            <w:gridSpan w:val="4"/>
            <w:vMerge w:val="restart"/>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kern w:val="0"/>
                <w:sz w:val="20"/>
                <w:szCs w:val="20"/>
              </w:rPr>
            </w:pPr>
            <w:r>
              <w:rPr>
                <w:rFonts w:ascii="宋体" w:hAnsi="宋体" w:cs="宋体"/>
                <w:color w:val="000000"/>
                <w:kern w:val="0"/>
                <w:sz w:val="20"/>
                <w:szCs w:val="20"/>
              </w:rPr>
              <w:t>财政拨款收入</w:t>
            </w:r>
          </w:p>
        </w:tc>
        <w:tc>
          <w:tcPr>
            <w:tcW w:w="567" w:type="dxa"/>
            <w:gridSpan w:val="2"/>
            <w:vMerge w:val="restart"/>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kern w:val="0"/>
                <w:sz w:val="20"/>
                <w:szCs w:val="20"/>
              </w:rPr>
            </w:pPr>
            <w:r>
              <w:rPr>
                <w:rFonts w:ascii="宋体" w:hAnsi="宋体" w:cs="宋体"/>
                <w:color w:val="000000"/>
                <w:kern w:val="0"/>
                <w:sz w:val="20"/>
                <w:szCs w:val="20"/>
              </w:rPr>
              <w:t>上级补助收入</w:t>
            </w:r>
          </w:p>
        </w:tc>
        <w:tc>
          <w:tcPr>
            <w:tcW w:w="567" w:type="dxa"/>
            <w:gridSpan w:val="2"/>
            <w:vMerge w:val="restart"/>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kern w:val="0"/>
                <w:sz w:val="20"/>
                <w:szCs w:val="20"/>
              </w:rPr>
            </w:pPr>
            <w:r>
              <w:rPr>
                <w:rFonts w:ascii="宋体" w:hAnsi="宋体" w:cs="宋体"/>
                <w:color w:val="000000"/>
                <w:kern w:val="0"/>
                <w:sz w:val="20"/>
                <w:szCs w:val="20"/>
              </w:rPr>
              <w:t>事业收入</w:t>
            </w:r>
          </w:p>
        </w:tc>
        <w:tc>
          <w:tcPr>
            <w:tcW w:w="567" w:type="dxa"/>
            <w:gridSpan w:val="2"/>
            <w:vMerge w:val="restart"/>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kern w:val="0"/>
                <w:sz w:val="20"/>
                <w:szCs w:val="20"/>
              </w:rPr>
            </w:pPr>
            <w:r>
              <w:rPr>
                <w:rFonts w:ascii="宋体" w:hAnsi="宋体" w:cs="宋体"/>
                <w:color w:val="000000"/>
                <w:kern w:val="0"/>
                <w:sz w:val="20"/>
                <w:szCs w:val="20"/>
              </w:rPr>
              <w:t>经营收入</w:t>
            </w:r>
          </w:p>
        </w:tc>
        <w:tc>
          <w:tcPr>
            <w:tcW w:w="709" w:type="dxa"/>
            <w:gridSpan w:val="3"/>
            <w:vMerge w:val="restart"/>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kern w:val="0"/>
                <w:sz w:val="20"/>
                <w:szCs w:val="20"/>
              </w:rPr>
            </w:pPr>
            <w:r>
              <w:rPr>
                <w:rFonts w:ascii="宋体" w:hAnsi="宋体" w:cs="宋体"/>
                <w:color w:val="000000"/>
                <w:kern w:val="0"/>
                <w:sz w:val="20"/>
                <w:szCs w:val="20"/>
              </w:rPr>
              <w:t>附属单位上缴收入</w:t>
            </w:r>
          </w:p>
        </w:tc>
        <w:tc>
          <w:tcPr>
            <w:tcW w:w="709" w:type="dxa"/>
            <w:vMerge w:val="restart"/>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kern w:val="0"/>
                <w:sz w:val="20"/>
                <w:szCs w:val="20"/>
              </w:rPr>
            </w:pPr>
            <w:r>
              <w:rPr>
                <w:rFonts w:ascii="宋体" w:hAnsi="宋体" w:cs="宋体"/>
                <w:color w:val="000000"/>
                <w:kern w:val="0"/>
                <w:sz w:val="20"/>
                <w:szCs w:val="20"/>
              </w:rPr>
              <w:t>其他收入</w:t>
            </w: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626" w:hRule="atLeast"/>
          <w:jc w:val="center"/>
        </w:trPr>
        <w:tc>
          <w:tcPr>
            <w:tcW w:w="9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20"/>
                <w:szCs w:val="20"/>
              </w:rPr>
            </w:pPr>
            <w:r>
              <w:rPr>
                <w:rFonts w:ascii="宋体" w:hAnsi="宋体" w:cs="宋体"/>
                <w:color w:val="000000"/>
                <w:kern w:val="0"/>
                <w:sz w:val="20"/>
                <w:szCs w:val="20"/>
              </w:rPr>
              <w:t>功能分类科目编码</w:t>
            </w:r>
          </w:p>
        </w:tc>
        <w:tc>
          <w:tcPr>
            <w:tcW w:w="297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20"/>
                <w:szCs w:val="20"/>
              </w:rPr>
            </w:pPr>
            <w:r>
              <w:rPr>
                <w:rFonts w:ascii="宋体" w:hAnsi="宋体" w:cs="宋体"/>
                <w:color w:val="000000"/>
                <w:kern w:val="0"/>
                <w:sz w:val="20"/>
                <w:szCs w:val="20"/>
              </w:rPr>
              <w:t>科目名称</w:t>
            </w:r>
          </w:p>
        </w:tc>
        <w:tc>
          <w:tcPr>
            <w:tcW w:w="992" w:type="dxa"/>
            <w:gridSpan w:val="6"/>
            <w:vMerge w:val="continue"/>
            <w:tcBorders>
              <w:top w:val="single" w:color="000000" w:sz="4" w:space="0"/>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rPr>
                <w:rFonts w:ascii="宋体" w:hAnsi="宋体" w:cs="宋体"/>
                <w:color w:val="000000"/>
                <w:sz w:val="20"/>
                <w:szCs w:val="20"/>
              </w:rPr>
            </w:pPr>
          </w:p>
        </w:tc>
        <w:tc>
          <w:tcPr>
            <w:tcW w:w="992" w:type="dxa"/>
            <w:gridSpan w:val="4"/>
            <w:vMerge w:val="continue"/>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kern w:val="0"/>
                <w:sz w:val="20"/>
                <w:szCs w:val="20"/>
              </w:rPr>
            </w:pPr>
          </w:p>
        </w:tc>
        <w:tc>
          <w:tcPr>
            <w:tcW w:w="567" w:type="dxa"/>
            <w:gridSpan w:val="2"/>
            <w:vMerge w:val="continue"/>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kern w:val="0"/>
                <w:sz w:val="20"/>
                <w:szCs w:val="20"/>
              </w:rPr>
            </w:pPr>
          </w:p>
        </w:tc>
        <w:tc>
          <w:tcPr>
            <w:tcW w:w="567" w:type="dxa"/>
            <w:gridSpan w:val="2"/>
            <w:vMerge w:val="continue"/>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kern w:val="0"/>
                <w:sz w:val="20"/>
                <w:szCs w:val="20"/>
              </w:rPr>
            </w:pPr>
          </w:p>
        </w:tc>
        <w:tc>
          <w:tcPr>
            <w:tcW w:w="567" w:type="dxa"/>
            <w:gridSpan w:val="2"/>
            <w:vMerge w:val="continue"/>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kern w:val="0"/>
                <w:sz w:val="20"/>
                <w:szCs w:val="20"/>
              </w:rPr>
            </w:pPr>
          </w:p>
        </w:tc>
        <w:tc>
          <w:tcPr>
            <w:tcW w:w="709" w:type="dxa"/>
            <w:gridSpan w:val="3"/>
            <w:vMerge w:val="continue"/>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kern w:val="0"/>
                <w:sz w:val="20"/>
                <w:szCs w:val="20"/>
              </w:rPr>
            </w:pPr>
          </w:p>
        </w:tc>
        <w:tc>
          <w:tcPr>
            <w:tcW w:w="709" w:type="dxa"/>
            <w:vMerge w:val="continue"/>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kern w:val="0"/>
                <w:sz w:val="20"/>
                <w:szCs w:val="20"/>
              </w:rPr>
            </w:pP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91" w:hRule="atLeast"/>
          <w:jc w:val="center"/>
        </w:trPr>
        <w:tc>
          <w:tcPr>
            <w:tcW w:w="3896" w:type="dxa"/>
            <w:gridSpan w:val="8"/>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栏次</w:t>
            </w:r>
          </w:p>
        </w:tc>
        <w:tc>
          <w:tcPr>
            <w:tcW w:w="992" w:type="dxa"/>
            <w:gridSpan w:val="6"/>
            <w:tcBorders>
              <w:top w:val="single" w:color="000000" w:sz="4" w:space="0"/>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992" w:type="dxa"/>
            <w:gridSpan w:val="4"/>
            <w:tcBorders>
              <w:top w:val="single" w:color="000000" w:sz="4" w:space="0"/>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90" w:hRule="atLeast"/>
          <w:jc w:val="center"/>
        </w:trPr>
        <w:tc>
          <w:tcPr>
            <w:tcW w:w="3896" w:type="dxa"/>
            <w:gridSpan w:val="8"/>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92" w:type="dxa"/>
            <w:gridSpan w:val="6"/>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宋体"/>
                <w:color w:val="000000"/>
                <w:szCs w:val="21"/>
              </w:rPr>
              <w:t>6,030.39</w:t>
            </w:r>
          </w:p>
        </w:tc>
        <w:tc>
          <w:tcPr>
            <w:tcW w:w="992" w:type="dxa"/>
            <w:gridSpan w:val="4"/>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宋体"/>
                <w:color w:val="000000"/>
                <w:szCs w:val="21"/>
              </w:rPr>
              <w:t>6,024.39</w:t>
            </w:r>
          </w:p>
        </w:tc>
        <w:tc>
          <w:tcPr>
            <w:tcW w:w="567" w:type="dxa"/>
            <w:gridSpan w:val="2"/>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gridSpan w:val="3"/>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宋体"/>
                <w:color w:val="000000"/>
                <w:szCs w:val="21"/>
              </w:rPr>
              <w:t>6.00</w:t>
            </w: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71" w:hRule="atLeast"/>
          <w:jc w:val="center"/>
        </w:trPr>
        <w:tc>
          <w:tcPr>
            <w:tcW w:w="9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eastAsia="宋体" w:cs="宋体"/>
                <w:color w:val="000000"/>
                <w:szCs w:val="21"/>
              </w:rPr>
            </w:pPr>
            <w:r>
              <w:rPr>
                <w:rFonts w:ascii="宋体" w:hAnsi="宋体" w:eastAsia="宋体" w:cs="宋体"/>
                <w:color w:val="000000"/>
                <w:szCs w:val="21"/>
              </w:rPr>
              <w:t>201</w:t>
            </w:r>
          </w:p>
        </w:tc>
        <w:tc>
          <w:tcPr>
            <w:tcW w:w="297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eastAsia="宋体" w:cs="宋体"/>
                <w:color w:val="000000"/>
                <w:szCs w:val="21"/>
              </w:rPr>
            </w:pPr>
            <w:r>
              <w:rPr>
                <w:rFonts w:ascii="宋体" w:hAnsi="宋体" w:cs="宋体"/>
                <w:color w:val="000000"/>
                <w:szCs w:val="21"/>
              </w:rPr>
              <w:t>一般公共服务支出</w:t>
            </w:r>
          </w:p>
        </w:tc>
        <w:tc>
          <w:tcPr>
            <w:tcW w:w="992" w:type="dxa"/>
            <w:gridSpan w:val="6"/>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eastAsia="宋体" w:cs="宋体"/>
                <w:color w:val="000000"/>
                <w:szCs w:val="21"/>
              </w:rPr>
            </w:pPr>
            <w:r>
              <w:rPr>
                <w:rFonts w:ascii="宋体" w:hAnsi="宋体" w:eastAsia="宋体"/>
                <w:szCs w:val="21"/>
              </w:rPr>
              <w:t>5,033.05</w:t>
            </w:r>
          </w:p>
        </w:tc>
        <w:tc>
          <w:tcPr>
            <w:tcW w:w="992" w:type="dxa"/>
            <w:gridSpan w:val="4"/>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eastAsia="宋体" w:cs="宋体"/>
                <w:color w:val="000000"/>
                <w:szCs w:val="21"/>
              </w:rPr>
            </w:pPr>
            <w:r>
              <w:rPr>
                <w:rFonts w:ascii="宋体" w:hAnsi="宋体" w:eastAsia="宋体"/>
                <w:szCs w:val="21"/>
              </w:rPr>
              <w:t>5,027.05</w:t>
            </w: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宋体"/>
                <w:color w:val="000000"/>
                <w:szCs w:val="21"/>
              </w:rPr>
              <w:t>6.00</w:t>
            </w: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71" w:hRule="atLeast"/>
          <w:jc w:val="center"/>
        </w:trPr>
        <w:tc>
          <w:tcPr>
            <w:tcW w:w="9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eastAsia="宋体" w:cs="宋体"/>
                <w:color w:val="000000"/>
                <w:szCs w:val="21"/>
              </w:rPr>
            </w:pPr>
            <w:r>
              <w:rPr>
                <w:rFonts w:ascii="宋体" w:hAnsi="宋体" w:eastAsia="宋体"/>
                <w:szCs w:val="21"/>
              </w:rPr>
              <w:t>20115</w:t>
            </w:r>
            <w:r>
              <w:rPr>
                <w:rFonts w:ascii="宋体" w:hAnsi="宋体" w:eastAsia="宋体"/>
                <w:szCs w:val="21"/>
              </w:rPr>
              <w:tab/>
            </w:r>
          </w:p>
        </w:tc>
        <w:tc>
          <w:tcPr>
            <w:tcW w:w="297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eastAsia="宋体" w:cs="宋体"/>
                <w:color w:val="000000"/>
                <w:szCs w:val="21"/>
              </w:rPr>
            </w:pPr>
            <w:r>
              <w:rPr>
                <w:rFonts w:ascii="宋体" w:hAnsi="宋体"/>
                <w:szCs w:val="21"/>
              </w:rPr>
              <w:t>工商行政管理事务</w:t>
            </w:r>
          </w:p>
        </w:tc>
        <w:tc>
          <w:tcPr>
            <w:tcW w:w="992" w:type="dxa"/>
            <w:gridSpan w:val="6"/>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eastAsia="宋体" w:cs="宋体"/>
                <w:color w:val="000000"/>
                <w:szCs w:val="21"/>
              </w:rPr>
            </w:pPr>
            <w:r>
              <w:rPr>
                <w:rFonts w:ascii="宋体" w:hAnsi="宋体" w:eastAsia="宋体"/>
                <w:szCs w:val="21"/>
              </w:rPr>
              <w:t>5,033.05</w:t>
            </w:r>
          </w:p>
        </w:tc>
        <w:tc>
          <w:tcPr>
            <w:tcW w:w="992" w:type="dxa"/>
            <w:gridSpan w:val="4"/>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eastAsia="宋体" w:cs="宋体"/>
                <w:color w:val="000000"/>
                <w:szCs w:val="21"/>
              </w:rPr>
            </w:pPr>
            <w:r>
              <w:rPr>
                <w:rFonts w:ascii="宋体" w:hAnsi="宋体" w:eastAsia="宋体"/>
                <w:szCs w:val="21"/>
              </w:rPr>
              <w:t>5,027.05</w:t>
            </w: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宋体"/>
                <w:color w:val="000000"/>
                <w:szCs w:val="21"/>
              </w:rPr>
              <w:t>6.00</w:t>
            </w: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71" w:hRule="atLeast"/>
          <w:jc w:val="center"/>
        </w:trPr>
        <w:tc>
          <w:tcPr>
            <w:tcW w:w="9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2011501</w:t>
            </w:r>
            <w:r>
              <w:rPr>
                <w:rFonts w:ascii="宋体" w:hAnsi="宋体" w:eastAsia="宋体"/>
                <w:szCs w:val="21"/>
              </w:rPr>
              <w:tab/>
            </w:r>
          </w:p>
        </w:tc>
        <w:tc>
          <w:tcPr>
            <w:tcW w:w="297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行政运行</w:t>
            </w:r>
          </w:p>
        </w:tc>
        <w:tc>
          <w:tcPr>
            <w:tcW w:w="992" w:type="dxa"/>
            <w:gridSpan w:val="6"/>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3,447.68</w:t>
            </w:r>
          </w:p>
        </w:tc>
        <w:tc>
          <w:tcPr>
            <w:tcW w:w="992" w:type="dxa"/>
            <w:gridSpan w:val="4"/>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3,446.68</w:t>
            </w: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宋体"/>
                <w:color w:val="000000"/>
                <w:szCs w:val="21"/>
              </w:rPr>
              <w:t>1.00</w:t>
            </w: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71" w:hRule="atLeast"/>
          <w:jc w:val="center"/>
        </w:trPr>
        <w:tc>
          <w:tcPr>
            <w:tcW w:w="9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2011502</w:t>
            </w:r>
          </w:p>
        </w:tc>
        <w:tc>
          <w:tcPr>
            <w:tcW w:w="297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一般行政管理事务</w:t>
            </w:r>
          </w:p>
        </w:tc>
        <w:tc>
          <w:tcPr>
            <w:tcW w:w="992" w:type="dxa"/>
            <w:gridSpan w:val="6"/>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664.82</w:t>
            </w:r>
          </w:p>
        </w:tc>
        <w:tc>
          <w:tcPr>
            <w:tcW w:w="992" w:type="dxa"/>
            <w:gridSpan w:val="4"/>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659.82</w:t>
            </w: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宋体"/>
                <w:color w:val="000000"/>
                <w:szCs w:val="21"/>
              </w:rPr>
              <w:t>5.00</w:t>
            </w: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71" w:hRule="atLeast"/>
          <w:jc w:val="center"/>
        </w:trPr>
        <w:tc>
          <w:tcPr>
            <w:tcW w:w="9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2011504</w:t>
            </w:r>
          </w:p>
        </w:tc>
        <w:tc>
          <w:tcPr>
            <w:tcW w:w="297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工商行政管理专项</w:t>
            </w:r>
          </w:p>
        </w:tc>
        <w:tc>
          <w:tcPr>
            <w:tcW w:w="992" w:type="dxa"/>
            <w:gridSpan w:val="6"/>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104.13</w:t>
            </w:r>
          </w:p>
        </w:tc>
        <w:tc>
          <w:tcPr>
            <w:tcW w:w="992" w:type="dxa"/>
            <w:gridSpan w:val="4"/>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104.13</w:t>
            </w: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71" w:hRule="atLeast"/>
          <w:jc w:val="center"/>
        </w:trPr>
        <w:tc>
          <w:tcPr>
            <w:tcW w:w="9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2011505</w:t>
            </w:r>
          </w:p>
        </w:tc>
        <w:tc>
          <w:tcPr>
            <w:tcW w:w="297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执法办案专项</w:t>
            </w:r>
          </w:p>
        </w:tc>
        <w:tc>
          <w:tcPr>
            <w:tcW w:w="992" w:type="dxa"/>
            <w:gridSpan w:val="6"/>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42.45</w:t>
            </w:r>
          </w:p>
        </w:tc>
        <w:tc>
          <w:tcPr>
            <w:tcW w:w="992" w:type="dxa"/>
            <w:gridSpan w:val="4"/>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42.45</w:t>
            </w: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71" w:hRule="atLeast"/>
          <w:jc w:val="center"/>
        </w:trPr>
        <w:tc>
          <w:tcPr>
            <w:tcW w:w="9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2011506</w:t>
            </w:r>
            <w:r>
              <w:rPr>
                <w:rFonts w:ascii="宋体" w:hAnsi="宋体" w:eastAsia="宋体"/>
                <w:szCs w:val="21"/>
              </w:rPr>
              <w:tab/>
            </w:r>
          </w:p>
        </w:tc>
        <w:tc>
          <w:tcPr>
            <w:tcW w:w="297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消费者权益保护</w:t>
            </w:r>
          </w:p>
        </w:tc>
        <w:tc>
          <w:tcPr>
            <w:tcW w:w="992" w:type="dxa"/>
            <w:gridSpan w:val="6"/>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90.15</w:t>
            </w:r>
          </w:p>
        </w:tc>
        <w:tc>
          <w:tcPr>
            <w:tcW w:w="992" w:type="dxa"/>
            <w:gridSpan w:val="4"/>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90.15</w:t>
            </w: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71" w:hRule="atLeast"/>
          <w:jc w:val="center"/>
        </w:trPr>
        <w:tc>
          <w:tcPr>
            <w:tcW w:w="9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2011507</w:t>
            </w:r>
          </w:p>
        </w:tc>
        <w:tc>
          <w:tcPr>
            <w:tcW w:w="297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信息化建设</w:t>
            </w:r>
          </w:p>
        </w:tc>
        <w:tc>
          <w:tcPr>
            <w:tcW w:w="992" w:type="dxa"/>
            <w:gridSpan w:val="6"/>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39.85</w:t>
            </w:r>
          </w:p>
        </w:tc>
        <w:tc>
          <w:tcPr>
            <w:tcW w:w="992" w:type="dxa"/>
            <w:gridSpan w:val="4"/>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39.85</w:t>
            </w: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71" w:hRule="atLeast"/>
          <w:jc w:val="center"/>
        </w:trPr>
        <w:tc>
          <w:tcPr>
            <w:tcW w:w="9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2011550</w:t>
            </w:r>
            <w:r>
              <w:rPr>
                <w:rFonts w:ascii="宋体" w:hAnsi="宋体" w:eastAsia="宋体"/>
                <w:szCs w:val="21"/>
              </w:rPr>
              <w:tab/>
            </w:r>
          </w:p>
        </w:tc>
        <w:tc>
          <w:tcPr>
            <w:tcW w:w="297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事业运行</w:t>
            </w:r>
          </w:p>
        </w:tc>
        <w:tc>
          <w:tcPr>
            <w:tcW w:w="992" w:type="dxa"/>
            <w:gridSpan w:val="6"/>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643.96</w:t>
            </w:r>
          </w:p>
        </w:tc>
        <w:tc>
          <w:tcPr>
            <w:tcW w:w="992" w:type="dxa"/>
            <w:gridSpan w:val="4"/>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643.96</w:t>
            </w: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71" w:hRule="atLeast"/>
          <w:jc w:val="center"/>
        </w:trPr>
        <w:tc>
          <w:tcPr>
            <w:tcW w:w="9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205</w:t>
            </w:r>
            <w:r>
              <w:rPr>
                <w:rFonts w:ascii="宋体" w:hAnsi="宋体" w:eastAsia="宋体"/>
                <w:szCs w:val="21"/>
              </w:rPr>
              <w:tab/>
            </w:r>
          </w:p>
        </w:tc>
        <w:tc>
          <w:tcPr>
            <w:tcW w:w="297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教育支出</w:t>
            </w:r>
          </w:p>
        </w:tc>
        <w:tc>
          <w:tcPr>
            <w:tcW w:w="992" w:type="dxa"/>
            <w:gridSpan w:val="6"/>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30.68</w:t>
            </w:r>
          </w:p>
        </w:tc>
        <w:tc>
          <w:tcPr>
            <w:tcW w:w="992" w:type="dxa"/>
            <w:gridSpan w:val="4"/>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30.68</w:t>
            </w: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71" w:hRule="atLeast"/>
          <w:jc w:val="center"/>
        </w:trPr>
        <w:tc>
          <w:tcPr>
            <w:tcW w:w="9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20508</w:t>
            </w:r>
          </w:p>
        </w:tc>
        <w:tc>
          <w:tcPr>
            <w:tcW w:w="297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进修及培训</w:t>
            </w:r>
          </w:p>
        </w:tc>
        <w:tc>
          <w:tcPr>
            <w:tcW w:w="992" w:type="dxa"/>
            <w:gridSpan w:val="6"/>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30.68</w:t>
            </w:r>
          </w:p>
        </w:tc>
        <w:tc>
          <w:tcPr>
            <w:tcW w:w="992" w:type="dxa"/>
            <w:gridSpan w:val="4"/>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30.68</w:t>
            </w: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71" w:hRule="atLeast"/>
          <w:jc w:val="center"/>
        </w:trPr>
        <w:tc>
          <w:tcPr>
            <w:tcW w:w="9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2050803</w:t>
            </w:r>
            <w:r>
              <w:rPr>
                <w:rFonts w:ascii="宋体" w:hAnsi="宋体" w:eastAsia="宋体"/>
                <w:szCs w:val="21"/>
              </w:rPr>
              <w:tab/>
            </w:r>
          </w:p>
        </w:tc>
        <w:tc>
          <w:tcPr>
            <w:tcW w:w="297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 xml:space="preserve">  培训支出</w:t>
            </w:r>
          </w:p>
        </w:tc>
        <w:tc>
          <w:tcPr>
            <w:tcW w:w="992" w:type="dxa"/>
            <w:gridSpan w:val="6"/>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30.68</w:t>
            </w:r>
          </w:p>
        </w:tc>
        <w:tc>
          <w:tcPr>
            <w:tcW w:w="992" w:type="dxa"/>
            <w:gridSpan w:val="4"/>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30.68</w:t>
            </w: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71" w:hRule="atLeast"/>
          <w:jc w:val="center"/>
        </w:trPr>
        <w:tc>
          <w:tcPr>
            <w:tcW w:w="9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208</w:t>
            </w:r>
          </w:p>
        </w:tc>
        <w:tc>
          <w:tcPr>
            <w:tcW w:w="297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社会保障和就业支出</w:t>
            </w:r>
          </w:p>
        </w:tc>
        <w:tc>
          <w:tcPr>
            <w:tcW w:w="992" w:type="dxa"/>
            <w:gridSpan w:val="6"/>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371.75</w:t>
            </w:r>
          </w:p>
        </w:tc>
        <w:tc>
          <w:tcPr>
            <w:tcW w:w="992" w:type="dxa"/>
            <w:gridSpan w:val="4"/>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371.75</w:t>
            </w: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71" w:hRule="atLeast"/>
          <w:jc w:val="center"/>
        </w:trPr>
        <w:tc>
          <w:tcPr>
            <w:tcW w:w="9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20805</w:t>
            </w:r>
          </w:p>
        </w:tc>
        <w:tc>
          <w:tcPr>
            <w:tcW w:w="297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行政事业单位离退休</w:t>
            </w:r>
          </w:p>
        </w:tc>
        <w:tc>
          <w:tcPr>
            <w:tcW w:w="992" w:type="dxa"/>
            <w:gridSpan w:val="6"/>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371.75</w:t>
            </w:r>
          </w:p>
        </w:tc>
        <w:tc>
          <w:tcPr>
            <w:tcW w:w="992" w:type="dxa"/>
            <w:gridSpan w:val="4"/>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371.75</w:t>
            </w: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71" w:hRule="atLeast"/>
          <w:jc w:val="center"/>
        </w:trPr>
        <w:tc>
          <w:tcPr>
            <w:tcW w:w="9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2080505</w:t>
            </w:r>
          </w:p>
        </w:tc>
        <w:tc>
          <w:tcPr>
            <w:tcW w:w="297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r>
              <w:rPr>
                <w:rFonts w:ascii="宋体" w:hAnsi="宋体"/>
                <w:sz w:val="18"/>
                <w:szCs w:val="18"/>
              </w:rPr>
              <w:t>机关事业单位基本养老保险缴费支出</w:t>
            </w:r>
          </w:p>
        </w:tc>
        <w:tc>
          <w:tcPr>
            <w:tcW w:w="992" w:type="dxa"/>
            <w:gridSpan w:val="6"/>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368.84</w:t>
            </w:r>
          </w:p>
        </w:tc>
        <w:tc>
          <w:tcPr>
            <w:tcW w:w="992" w:type="dxa"/>
            <w:gridSpan w:val="4"/>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368.84</w:t>
            </w: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71" w:hRule="atLeast"/>
          <w:jc w:val="center"/>
        </w:trPr>
        <w:tc>
          <w:tcPr>
            <w:tcW w:w="9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2080506</w:t>
            </w:r>
          </w:p>
        </w:tc>
        <w:tc>
          <w:tcPr>
            <w:tcW w:w="297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r>
              <w:rPr>
                <w:rFonts w:ascii="宋体" w:hAnsi="宋体"/>
                <w:sz w:val="18"/>
                <w:szCs w:val="18"/>
              </w:rPr>
              <w:t>机关事业单位职业年金缴费支出</w:t>
            </w:r>
          </w:p>
        </w:tc>
        <w:tc>
          <w:tcPr>
            <w:tcW w:w="992" w:type="dxa"/>
            <w:gridSpan w:val="6"/>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2.91</w:t>
            </w:r>
          </w:p>
        </w:tc>
        <w:tc>
          <w:tcPr>
            <w:tcW w:w="992" w:type="dxa"/>
            <w:gridSpan w:val="4"/>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2.91</w:t>
            </w: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71" w:hRule="atLeast"/>
          <w:jc w:val="center"/>
        </w:trPr>
        <w:tc>
          <w:tcPr>
            <w:tcW w:w="9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210</w:t>
            </w:r>
          </w:p>
        </w:tc>
        <w:tc>
          <w:tcPr>
            <w:tcW w:w="297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r>
              <w:rPr>
                <w:rFonts w:ascii="宋体" w:hAnsi="宋体"/>
                <w:sz w:val="18"/>
                <w:szCs w:val="18"/>
              </w:rPr>
              <w:t>医疗卫生与计划生育支出</w:t>
            </w:r>
          </w:p>
        </w:tc>
        <w:tc>
          <w:tcPr>
            <w:tcW w:w="992" w:type="dxa"/>
            <w:gridSpan w:val="6"/>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383.86</w:t>
            </w:r>
          </w:p>
        </w:tc>
        <w:tc>
          <w:tcPr>
            <w:tcW w:w="992" w:type="dxa"/>
            <w:gridSpan w:val="4"/>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383.86</w:t>
            </w: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71" w:hRule="atLeast"/>
          <w:jc w:val="center"/>
        </w:trPr>
        <w:tc>
          <w:tcPr>
            <w:tcW w:w="9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21011</w:t>
            </w:r>
            <w:r>
              <w:rPr>
                <w:rFonts w:ascii="宋体" w:hAnsi="宋体" w:eastAsia="宋体"/>
                <w:szCs w:val="21"/>
              </w:rPr>
              <w:tab/>
            </w:r>
          </w:p>
        </w:tc>
        <w:tc>
          <w:tcPr>
            <w:tcW w:w="297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行政事业单位医疗</w:t>
            </w:r>
          </w:p>
        </w:tc>
        <w:tc>
          <w:tcPr>
            <w:tcW w:w="992" w:type="dxa"/>
            <w:gridSpan w:val="6"/>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383.86</w:t>
            </w:r>
          </w:p>
        </w:tc>
        <w:tc>
          <w:tcPr>
            <w:tcW w:w="992" w:type="dxa"/>
            <w:gridSpan w:val="4"/>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383.86</w:t>
            </w: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71" w:hRule="atLeast"/>
          <w:jc w:val="center"/>
        </w:trPr>
        <w:tc>
          <w:tcPr>
            <w:tcW w:w="9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2101101</w:t>
            </w:r>
          </w:p>
        </w:tc>
        <w:tc>
          <w:tcPr>
            <w:tcW w:w="297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行政单位医疗</w:t>
            </w:r>
          </w:p>
        </w:tc>
        <w:tc>
          <w:tcPr>
            <w:tcW w:w="992" w:type="dxa"/>
            <w:gridSpan w:val="6"/>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324.09</w:t>
            </w:r>
          </w:p>
        </w:tc>
        <w:tc>
          <w:tcPr>
            <w:tcW w:w="992" w:type="dxa"/>
            <w:gridSpan w:val="4"/>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324.09</w:t>
            </w: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71" w:hRule="atLeast"/>
          <w:jc w:val="center"/>
        </w:trPr>
        <w:tc>
          <w:tcPr>
            <w:tcW w:w="9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2101102</w:t>
            </w:r>
            <w:r>
              <w:rPr>
                <w:rFonts w:ascii="宋体" w:hAnsi="宋体" w:eastAsia="宋体"/>
                <w:szCs w:val="21"/>
              </w:rPr>
              <w:tab/>
            </w:r>
          </w:p>
        </w:tc>
        <w:tc>
          <w:tcPr>
            <w:tcW w:w="297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事业单位医疗</w:t>
            </w:r>
          </w:p>
        </w:tc>
        <w:tc>
          <w:tcPr>
            <w:tcW w:w="992" w:type="dxa"/>
            <w:gridSpan w:val="6"/>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59.77</w:t>
            </w:r>
          </w:p>
        </w:tc>
        <w:tc>
          <w:tcPr>
            <w:tcW w:w="992" w:type="dxa"/>
            <w:gridSpan w:val="4"/>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59.77</w:t>
            </w: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71" w:hRule="atLeast"/>
          <w:jc w:val="center"/>
        </w:trPr>
        <w:tc>
          <w:tcPr>
            <w:tcW w:w="9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221</w:t>
            </w:r>
          </w:p>
        </w:tc>
        <w:tc>
          <w:tcPr>
            <w:tcW w:w="297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住房保障支出</w:t>
            </w:r>
          </w:p>
        </w:tc>
        <w:tc>
          <w:tcPr>
            <w:tcW w:w="992" w:type="dxa"/>
            <w:gridSpan w:val="6"/>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211.05</w:t>
            </w:r>
          </w:p>
        </w:tc>
        <w:tc>
          <w:tcPr>
            <w:tcW w:w="992" w:type="dxa"/>
            <w:gridSpan w:val="4"/>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211.05</w:t>
            </w: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71" w:hRule="atLeast"/>
          <w:jc w:val="center"/>
        </w:trPr>
        <w:tc>
          <w:tcPr>
            <w:tcW w:w="9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22102</w:t>
            </w:r>
          </w:p>
        </w:tc>
        <w:tc>
          <w:tcPr>
            <w:tcW w:w="297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住房改革支出</w:t>
            </w:r>
          </w:p>
        </w:tc>
        <w:tc>
          <w:tcPr>
            <w:tcW w:w="992" w:type="dxa"/>
            <w:gridSpan w:val="6"/>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211.05</w:t>
            </w:r>
          </w:p>
        </w:tc>
        <w:tc>
          <w:tcPr>
            <w:tcW w:w="992" w:type="dxa"/>
            <w:gridSpan w:val="4"/>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211.05</w:t>
            </w: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71" w:hRule="atLeast"/>
          <w:jc w:val="center"/>
        </w:trPr>
        <w:tc>
          <w:tcPr>
            <w:tcW w:w="9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2210201</w:t>
            </w:r>
            <w:r>
              <w:rPr>
                <w:rFonts w:ascii="宋体" w:hAnsi="宋体" w:eastAsia="宋体"/>
                <w:szCs w:val="21"/>
              </w:rPr>
              <w:tab/>
            </w:r>
          </w:p>
        </w:tc>
        <w:tc>
          <w:tcPr>
            <w:tcW w:w="2977" w:type="dxa"/>
            <w:gridSpan w:val="5"/>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住房公积金</w:t>
            </w:r>
          </w:p>
        </w:tc>
        <w:tc>
          <w:tcPr>
            <w:tcW w:w="992" w:type="dxa"/>
            <w:gridSpan w:val="6"/>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211.05</w:t>
            </w:r>
          </w:p>
        </w:tc>
        <w:tc>
          <w:tcPr>
            <w:tcW w:w="992" w:type="dxa"/>
            <w:gridSpan w:val="4"/>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211.05</w:t>
            </w: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56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0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60" w:type="dxa"/>
            <w:gridSpan w:val="2"/>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81" w:hRule="atLeast"/>
          <w:jc w:val="center"/>
        </w:trPr>
        <w:tc>
          <w:tcPr>
            <w:tcW w:w="8999" w:type="dxa"/>
            <w:gridSpan w:val="28"/>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Cs w:val="21"/>
              </w:rPr>
            </w:pPr>
            <w:r>
              <w:rPr>
                <w:rFonts w:ascii="宋体" w:hAnsi="宋体" w:cs="宋体"/>
                <w:color w:val="000000"/>
                <w:kern w:val="0"/>
                <w:szCs w:val="21"/>
              </w:rPr>
              <w:t>注：本表反映部门本年度取得的各项收入情况。</w:t>
            </w:r>
          </w:p>
        </w:tc>
        <w:tc>
          <w:tcPr>
            <w:tcW w:w="860" w:type="dxa"/>
            <w:gridSpan w:val="2"/>
            <w:tcMar>
              <w:top w:w="0" w:type="dxa"/>
              <w:left w:w="0" w:type="dxa"/>
              <w:right w:w="0" w:type="dxa"/>
            </w:tcMar>
          </w:tcPr>
          <w:p>
            <w:pPr>
              <w:pStyle w:val="4"/>
              <w:widowControl w:val="0"/>
              <w:bidi w:val="0"/>
              <w:spacing w:beforeLines="0" w:beforeAutospacing="0" w:after="160" w:afterAutospacing="0"/>
            </w:pPr>
          </w:p>
        </w:tc>
      </w:tr>
    </w:tbl>
    <w:p>
      <w:pPr>
        <w:pStyle w:val="4"/>
        <w:widowControl/>
        <w:bidi w:val="0"/>
        <w:spacing w:beforeLines="0" w:beforeAutospacing="0" w:after="0" w:afterAutospacing="0" w:line="560" w:lineRule="exact"/>
        <w:jc w:val="left"/>
        <w:sectPr>
          <w:pgSz w:w="11906" w:h="16838"/>
          <w:pgMar w:top="2098" w:right="1474" w:bottom="1984" w:left="1588" w:header="0" w:footer="0" w:gutter="0"/>
          <w:pgNumType w:fmt="decimal"/>
          <w:cols w:space="720" w:num="1"/>
          <w:formProt w:val="0"/>
          <w:docGrid w:type="lines" w:linePitch="312" w:charSpace="43007"/>
        </w:sectPr>
      </w:pPr>
    </w:p>
    <w:tbl>
      <w:tblPr>
        <w:tblStyle w:val="2"/>
        <w:tblW w:w="9463" w:type="dxa"/>
        <w:tblInd w:w="15" w:type="dxa"/>
        <w:tblLayout w:type="fixed"/>
        <w:tblCellMar>
          <w:top w:w="15" w:type="dxa"/>
          <w:left w:w="15" w:type="dxa"/>
          <w:bottom w:w="0" w:type="dxa"/>
          <w:right w:w="15" w:type="dxa"/>
        </w:tblCellMar>
      </w:tblPr>
      <w:tblGrid>
        <w:gridCol w:w="289"/>
        <w:gridCol w:w="290"/>
        <w:gridCol w:w="428"/>
        <w:gridCol w:w="2139"/>
        <w:gridCol w:w="413"/>
        <w:gridCol w:w="50"/>
        <w:gridCol w:w="655"/>
        <w:gridCol w:w="428"/>
        <w:gridCol w:w="34"/>
        <w:gridCol w:w="658"/>
        <w:gridCol w:w="301"/>
        <w:gridCol w:w="162"/>
        <w:gridCol w:w="655"/>
        <w:gridCol w:w="34"/>
        <w:gridCol w:w="428"/>
        <w:gridCol w:w="421"/>
        <w:gridCol w:w="700"/>
        <w:gridCol w:w="151"/>
        <w:gridCol w:w="764"/>
        <w:gridCol w:w="462"/>
      </w:tblGrid>
      <w:tr>
        <w:tblPrEx>
          <w:tblCellMar>
            <w:top w:w="15" w:type="dxa"/>
            <w:left w:w="15" w:type="dxa"/>
            <w:bottom w:w="0" w:type="dxa"/>
            <w:right w:w="15" w:type="dxa"/>
          </w:tblCellMar>
        </w:tblPrEx>
        <w:trPr>
          <w:trHeight w:val="798" w:hRule="atLeast"/>
        </w:trPr>
        <w:tc>
          <w:tcPr>
            <w:tcW w:w="9000" w:type="dxa"/>
            <w:gridSpan w:val="19"/>
            <w:vAlign w:val="center"/>
          </w:tcPr>
          <w:p>
            <w:pPr>
              <w:pStyle w:val="4"/>
              <w:widowControl w:val="0"/>
              <w:bidi w:val="0"/>
              <w:spacing w:beforeLines="0" w:beforeAutospacing="0" w:after="0" w:afterAutospacing="0" w:line="240" w:lineRule="atLeast"/>
              <w:jc w:val="center"/>
              <w:rPr>
                <w:rFonts w:ascii="黑体" w:hAnsi="黑体" w:eastAsia="黑体" w:cs="黑体"/>
                <w:color w:val="000000"/>
                <w:sz w:val="40"/>
                <w:szCs w:val="40"/>
              </w:rPr>
            </w:pPr>
            <w:r>
              <w:rPr>
                <w:rFonts w:ascii="黑体" w:hAnsi="黑体" w:eastAsia="黑体" w:cs="黑体"/>
                <w:color w:val="000000"/>
                <w:kern w:val="0"/>
                <w:sz w:val="40"/>
                <w:szCs w:val="40"/>
              </w:rPr>
              <w:t>支出决算</w:t>
            </w:r>
            <w:r>
              <mc:AlternateContent>
                <mc:Choice Requires="wpg">
                  <w:drawing>
                    <wp:anchor distT="0" distB="0" distL="114300" distR="114300" simplePos="0" relativeHeight="1024" behindDoc="1" locked="0" layoutInCell="1" allowOverlap="1">
                      <wp:simplePos x="0" y="0"/>
                      <wp:positionH relativeFrom="column">
                        <wp:posOffset>-1024890</wp:posOffset>
                      </wp:positionH>
                      <wp:positionV relativeFrom="page">
                        <wp:posOffset>-1027430</wp:posOffset>
                      </wp:positionV>
                      <wp:extent cx="3089275" cy="525780"/>
                      <wp:effectExtent l="0" t="0" r="0" b="0"/>
                      <wp:wrapNone/>
                      <wp:docPr id="23" name="组合 1047"/>
                      <wp:cNvGraphicFramePr/>
                      <a:graphic xmlns:a="http://schemas.openxmlformats.org/drawingml/2006/main">
                        <a:graphicData uri="http://schemas.microsoft.com/office/word/2010/wordprocessingGroup">
                          <wpg:wgp>
                            <wpg:cNvGrpSpPr/>
                            <wpg:grpSpPr>
                              <a:xfrm>
                                <a:off x="0" y="0"/>
                                <a:ext cx="3088800" cy="525240"/>
                                <a:chOff x="0" y="0"/>
                                <a:chExt cx="3088800" cy="525240"/>
                              </a:xfrm>
                            </wpg:grpSpPr>
                            <wps:wsp>
                              <wps:cNvPr id="24" name="矩形 24"/>
                              <wps:cNvSpPr/>
                              <wps:spPr>
                                <a:xfrm>
                                  <a:off x="0" y="0"/>
                                  <a:ext cx="3088800" cy="440640"/>
                                </a:xfrm>
                                <a:prstGeom prst="rect">
                                  <a:avLst/>
                                </a:prstGeom>
                                <a:solidFill>
                                  <a:srgbClr val="D8D8D8"/>
                                </a:solidFill>
                                <a:ln w="0">
                                  <a:noFill/>
                                </a:ln>
                              </wps:spPr>
                              <wps:bodyPr/>
                            </wps:wsp>
                            <wps:wsp>
                              <wps:cNvPr id="25" name="文本框 25"/>
                              <wps:cNvSpPr txBox="true"/>
                              <wps:spPr>
                                <a:xfrm>
                                  <a:off x="9360" y="103680"/>
                                  <a:ext cx="3008520" cy="421560"/>
                                </a:xfrm>
                                <a:prstGeom prst="rect">
                                  <a:avLst/>
                                </a:prstGeom>
                                <a:solidFill>
                                  <a:srgbClr val="AD002D"/>
                                </a:solidFill>
                                <a:ln w="25560">
                                  <a:solidFill>
                                    <a:srgbClr val="AF7621"/>
                                  </a:solidFill>
                                  <a:round/>
                                </a:ln>
                              </wps:spPr>
                              <wps:txb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2018年度部门决算☞决算报表</w:t>
                                    </w:r>
                                  </w:p>
                                  <w:p>
                                    <w:pPr>
                                      <w:overflowPunct w:val="0"/>
                                      <w:bidi w:val="0"/>
                                      <w:spacing w:beforeLines="0" w:beforeAutospacing="0" w:afterLines="0" w:afterAutospacing="0" w:line="240" w:lineRule="auto"/>
                                      <w:jc w:val="center"/>
                                    </w:pPr>
                                  </w:p>
                                </w:txbxContent>
                              </wps:txbx>
                              <wps:bodyPr wrap="square">
                                <a:noAutofit/>
                              </wps:bodyPr>
                            </wps:wsp>
                          </wpg:wgp>
                        </a:graphicData>
                      </a:graphic>
                    </wp:anchor>
                  </w:drawing>
                </mc:Choice>
                <mc:Fallback>
                  <w:pict>
                    <v:group id="组合 1047" o:spid="_x0000_s1026" o:spt="203" style="position:absolute;left:0pt;margin-left:-80.7pt;margin-top:-80.9pt;height:41.4pt;width:243.25pt;mso-position-vertical-relative:page;z-index:-503315456;mso-width-relative:page;mso-height-relative:page;" coordsize="3088800,525240" o:gfxdata="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91SdbNsA&#10;AAANAQAADwAAAAAAAAABACAAAAA4AAAAZHJzL2Rvd25yZXYueG1sUEsBAhQAFAAAAAgAh07iQDnn&#10;jQp4AgAAPwYAAA4AAAAAAAAAAQAgAAAAQAEAAGRycy9lMm9Eb2MueG1sUEsFBgAAAAAGAAYAWQEA&#10;ACoGAAAAAA==&#10;">
                      <o:lock v:ext="edit" aspectratio="f"/>
                      <v:rect id="_x0000_s1026" o:spid="_x0000_s1026" o:spt="1" style="position:absolute;left:0;top:0;height:440640;width:3088800;" fillcolor="#D8D8D8" filled="t" stroked="f" coordsize="21600,21600" o:gfxdata="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Zmn5r0AAADbAAAADwAAAAAAAAABACAAAAA4AAAAZHJzL2Rvd25yZXYu&#10;eG1sUEsBAhQAFAAAAAgAh07iQDMvBZ47AAAAOQAAABAAAAAAAAAAAQAgAAAAIgEAAGRycy9zaGFw&#10;ZXhtbC54bWxQSwUGAAAAAAYABgBbAQAAzAMAAAAA&#10;">
                        <v:fill on="t" focussize="0,0"/>
                        <v:stroke on="f" weight="0pt"/>
                        <v:imagedata o:title=""/>
                        <o:lock v:ext="edit" aspectratio="f"/>
                      </v:rect>
                      <v:shape id="_x0000_s1026" o:spid="_x0000_s1026" o:spt="202" type="#_x0000_t202" style="position:absolute;left:9360;top:103680;height:421560;width:3008520;" fillcolor="#AD002D" filled="t" stroked="t" coordsize="21600,21600" o:gfxdata="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2vf5m+AAAA2wAAAA8AAAAAAAAAAQAgAAAAOAAAAGRycy9kb3ducmV2&#10;LnhtbFBLAQIUABQAAAAIAIdO4kAzLwWeOwAAADkAAAAQAAAAAAAAAAEAIAAAACMBAABkcnMvc2hh&#10;cGV4bWwueG1sUEsFBgAAAAAGAAYAWwEAAM0DAAAAAA==&#10;">
                        <v:fill on="t" focussize="0,0"/>
                        <v:stroke weight="2.01259842519685pt" color="#AF7621" joinstyle="round"/>
                        <v:imagedata o:title=""/>
                        <o:lock v:ext="edit" aspectratio="f"/>
                        <v:textbo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2018年度部门决算☞决算报表</w:t>
                              </w:r>
                            </w:p>
                            <w:p>
                              <w:pPr>
                                <w:overflowPunct w:val="0"/>
                                <w:bidi w:val="0"/>
                                <w:spacing w:beforeLines="0" w:beforeAutospacing="0" w:afterLines="0" w:afterAutospacing="0" w:line="240" w:lineRule="auto"/>
                                <w:jc w:val="center"/>
                              </w:pPr>
                            </w:p>
                          </w:txbxContent>
                        </v:textbox>
                      </v:shape>
                    </v:group>
                  </w:pict>
                </mc:Fallback>
              </mc:AlternateContent>
            </w:r>
            <w:r>
              <w:rPr>
                <w:rFonts w:ascii="黑体" w:hAnsi="黑体" w:eastAsia="黑体" w:cs="黑体"/>
                <w:color w:val="000000"/>
                <w:kern w:val="0"/>
                <w:sz w:val="40"/>
                <w:szCs w:val="40"/>
              </w:rPr>
              <w:t>表</w:t>
            </w: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04" w:hRule="atLeast"/>
        </w:trPr>
        <w:tc>
          <w:tcPr>
            <w:tcW w:w="289" w:type="dxa"/>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290" w:type="dxa"/>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428" w:type="dxa"/>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2552" w:type="dxa"/>
            <w:gridSpan w:val="2"/>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50" w:type="dxa"/>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1117" w:type="dxa"/>
            <w:gridSpan w:val="3"/>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1121" w:type="dxa"/>
            <w:gridSpan w:val="3"/>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1117" w:type="dxa"/>
            <w:gridSpan w:val="3"/>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1121" w:type="dxa"/>
            <w:gridSpan w:val="2"/>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1377" w:type="dxa"/>
            <w:gridSpan w:val="3"/>
            <w:vAlign w:val="center"/>
          </w:tcPr>
          <w:p>
            <w:pPr>
              <w:pStyle w:val="4"/>
              <w:widowControl w:val="0"/>
              <w:bidi w:val="0"/>
              <w:spacing w:beforeLines="0" w:beforeAutospacing="0" w:after="0" w:afterAutospacing="0" w:line="240" w:lineRule="atLeast"/>
              <w:ind w:right="420"/>
              <w:jc w:val="center"/>
              <w:textAlignment w:val="center"/>
              <w:rPr>
                <w:rFonts w:ascii="宋体" w:hAnsi="宋体" w:cs="宋体"/>
                <w:color w:val="000000"/>
                <w:szCs w:val="21"/>
              </w:rPr>
            </w:pPr>
            <w:r>
              <w:rPr>
                <w:rFonts w:ascii="宋体" w:hAnsi="宋体" w:cs="宋体"/>
                <w:color w:val="000000"/>
                <w:kern w:val="0"/>
                <w:szCs w:val="21"/>
              </w:rPr>
              <w:t>公开03表</w:t>
            </w:r>
          </w:p>
        </w:tc>
      </w:tr>
      <w:tr>
        <w:tblPrEx>
          <w:tblCellMar>
            <w:top w:w="15" w:type="dxa"/>
            <w:left w:w="15" w:type="dxa"/>
            <w:bottom w:w="0" w:type="dxa"/>
            <w:right w:w="15" w:type="dxa"/>
          </w:tblCellMar>
        </w:tblPrEx>
        <w:trPr>
          <w:trHeight w:val="380" w:hRule="atLeast"/>
        </w:trPr>
        <w:tc>
          <w:tcPr>
            <w:tcW w:w="3146" w:type="dxa"/>
            <w:gridSpan w:val="4"/>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Cs w:val="21"/>
              </w:rPr>
            </w:pPr>
            <w:r>
              <w:rPr>
                <w:rFonts w:ascii="宋体" w:hAnsi="宋体" w:cs="宋体"/>
                <w:color w:val="000000"/>
                <w:kern w:val="0"/>
                <w:szCs w:val="21"/>
              </w:rPr>
              <w:t>部门：</w:t>
            </w:r>
            <w:r>
              <w:rPr>
                <w:rFonts w:ascii="宋体" w:hAnsi="宋体" w:cs="宋体"/>
                <w:color w:val="000000"/>
                <w:kern w:val="0"/>
                <w:sz w:val="20"/>
                <w:szCs w:val="20"/>
              </w:rPr>
              <w:t>唐山市工商行政管理局</w:t>
            </w:r>
          </w:p>
        </w:tc>
        <w:tc>
          <w:tcPr>
            <w:tcW w:w="1118" w:type="dxa"/>
            <w:gridSpan w:val="3"/>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1120" w:type="dxa"/>
            <w:gridSpan w:val="3"/>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1118" w:type="dxa"/>
            <w:gridSpan w:val="3"/>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2498" w:type="dxa"/>
            <w:gridSpan w:val="6"/>
            <w:vAlign w:val="center"/>
          </w:tcPr>
          <w:p>
            <w:pPr>
              <w:pStyle w:val="4"/>
              <w:widowControl w:val="0"/>
              <w:bidi w:val="0"/>
              <w:spacing w:beforeLines="0" w:beforeAutospacing="0" w:after="0" w:afterAutospacing="0" w:line="240" w:lineRule="atLeast"/>
              <w:jc w:val="right"/>
              <w:textAlignment w:val="center"/>
              <w:rPr>
                <w:rFonts w:ascii="宋体" w:hAnsi="宋体" w:cs="宋体"/>
                <w:color w:val="000000"/>
                <w:szCs w:val="21"/>
              </w:rPr>
            </w:pPr>
            <w:r>
              <w:rPr>
                <w:rFonts w:ascii="宋体" w:hAnsi="宋体" w:cs="宋体"/>
                <w:color w:val="000000"/>
                <w:kern w:val="0"/>
                <w:szCs w:val="21"/>
              </w:rPr>
              <w:t>金额单位：万元</w:t>
            </w: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621" w:hRule="atLeast"/>
        </w:trPr>
        <w:tc>
          <w:tcPr>
            <w:tcW w:w="3559" w:type="dxa"/>
            <w:gridSpan w:val="5"/>
            <w:tcBorders>
              <w:top w:val="single" w:color="000000" w:sz="4" w:space="0"/>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项目</w:t>
            </w:r>
          </w:p>
        </w:tc>
        <w:tc>
          <w:tcPr>
            <w:tcW w:w="1133" w:type="dxa"/>
            <w:gridSpan w:val="3"/>
            <w:vMerge w:val="restart"/>
            <w:tcBorders>
              <w:top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本年支出合计</w:t>
            </w:r>
          </w:p>
        </w:tc>
        <w:tc>
          <w:tcPr>
            <w:tcW w:w="993" w:type="dxa"/>
            <w:gridSpan w:val="3"/>
            <w:vMerge w:val="restart"/>
            <w:tcBorders>
              <w:top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基本支出</w:t>
            </w:r>
          </w:p>
        </w:tc>
        <w:tc>
          <w:tcPr>
            <w:tcW w:w="851" w:type="dxa"/>
            <w:gridSpan w:val="3"/>
            <w:vMerge w:val="restart"/>
            <w:tcBorders>
              <w:top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项目支出</w:t>
            </w:r>
          </w:p>
        </w:tc>
        <w:tc>
          <w:tcPr>
            <w:tcW w:w="849" w:type="dxa"/>
            <w:gridSpan w:val="2"/>
            <w:vMerge w:val="restart"/>
            <w:tcBorders>
              <w:top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上缴上级支出</w:t>
            </w:r>
          </w:p>
        </w:tc>
        <w:tc>
          <w:tcPr>
            <w:tcW w:w="851" w:type="dxa"/>
            <w:gridSpan w:val="2"/>
            <w:vMerge w:val="restart"/>
            <w:tcBorders>
              <w:top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经营支出</w:t>
            </w:r>
          </w:p>
        </w:tc>
        <w:tc>
          <w:tcPr>
            <w:tcW w:w="764" w:type="dxa"/>
            <w:vMerge w:val="restart"/>
            <w:tcBorders>
              <w:top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对附属单位补助支出</w:t>
            </w: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696" w:hRule="atLeast"/>
        </w:trPr>
        <w:tc>
          <w:tcPr>
            <w:tcW w:w="1007"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功能分类科目编码</w:t>
            </w:r>
          </w:p>
        </w:tc>
        <w:tc>
          <w:tcPr>
            <w:tcW w:w="2552"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科目名称</w:t>
            </w:r>
          </w:p>
        </w:tc>
        <w:tc>
          <w:tcPr>
            <w:tcW w:w="1133" w:type="dxa"/>
            <w:gridSpan w:val="3"/>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rPr>
                <w:rFonts w:ascii="宋体" w:hAnsi="宋体" w:cs="宋体"/>
                <w:color w:val="000000"/>
                <w:szCs w:val="21"/>
              </w:rPr>
            </w:pPr>
          </w:p>
        </w:tc>
        <w:tc>
          <w:tcPr>
            <w:tcW w:w="993" w:type="dxa"/>
            <w:gridSpan w:val="3"/>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rPr>
                <w:rFonts w:ascii="宋体" w:hAnsi="宋体" w:cs="宋体"/>
                <w:color w:val="000000"/>
                <w:szCs w:val="21"/>
              </w:rPr>
            </w:pPr>
          </w:p>
        </w:tc>
        <w:tc>
          <w:tcPr>
            <w:tcW w:w="851" w:type="dxa"/>
            <w:gridSpan w:val="3"/>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rPr>
                <w:rFonts w:ascii="宋体" w:hAnsi="宋体" w:cs="宋体"/>
                <w:color w:val="000000"/>
                <w:szCs w:val="21"/>
              </w:rPr>
            </w:pPr>
          </w:p>
        </w:tc>
        <w:tc>
          <w:tcPr>
            <w:tcW w:w="849" w:type="dxa"/>
            <w:gridSpan w:val="2"/>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rPr>
                <w:rFonts w:ascii="宋体" w:hAnsi="宋体" w:cs="宋体"/>
                <w:color w:val="000000"/>
                <w:szCs w:val="21"/>
              </w:rPr>
            </w:pPr>
          </w:p>
        </w:tc>
        <w:tc>
          <w:tcPr>
            <w:tcW w:w="851" w:type="dxa"/>
            <w:gridSpan w:val="2"/>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rPr>
                <w:rFonts w:ascii="宋体" w:hAnsi="宋体" w:cs="宋体"/>
                <w:color w:val="000000"/>
                <w:szCs w:val="21"/>
              </w:rPr>
            </w:pPr>
          </w:p>
        </w:tc>
        <w:tc>
          <w:tcPr>
            <w:tcW w:w="764" w:type="dxa"/>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rPr>
                <w:rFonts w:ascii="宋体" w:hAnsi="宋体" w:cs="宋体"/>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95" w:hRule="atLeast"/>
        </w:trPr>
        <w:tc>
          <w:tcPr>
            <w:tcW w:w="3559" w:type="dxa"/>
            <w:gridSpan w:val="5"/>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栏次</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1</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2</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3</w:t>
            </w: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4</w:t>
            </w: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5</w:t>
            </w: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6</w:t>
            </w: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40" w:hRule="atLeast"/>
        </w:trPr>
        <w:tc>
          <w:tcPr>
            <w:tcW w:w="3559" w:type="dxa"/>
            <w:gridSpan w:val="5"/>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合计</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b/>
                <w:color w:val="000000"/>
                <w:szCs w:val="21"/>
              </w:rPr>
            </w:pPr>
            <w:r>
              <w:rPr>
                <w:rFonts w:ascii="宋体" w:hAnsi="宋体" w:eastAsia="宋体"/>
                <w:szCs w:val="21"/>
              </w:rPr>
              <w:t>5,804.21</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b/>
                <w:color w:val="000000"/>
                <w:szCs w:val="21"/>
              </w:rPr>
            </w:pPr>
            <w:r>
              <w:rPr>
                <w:rFonts w:ascii="宋体" w:hAnsi="宋体" w:eastAsia="宋体"/>
                <w:szCs w:val="21"/>
              </w:rPr>
              <w:t>5,564.19</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b/>
                <w:color w:val="000000"/>
                <w:szCs w:val="21"/>
              </w:rPr>
            </w:pPr>
            <w:r>
              <w:rPr>
                <w:rFonts w:ascii="宋体" w:hAnsi="宋体" w:eastAsia="宋体"/>
                <w:szCs w:val="21"/>
              </w:rPr>
              <w:t>240.02</w:t>
            </w: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b/>
                <w:color w:val="000000"/>
                <w:szCs w:val="21"/>
              </w:rPr>
            </w:pP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b/>
                <w:color w:val="000000"/>
                <w:szCs w:val="21"/>
              </w:rPr>
            </w:pP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b/>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68" w:hRule="atLeast"/>
        </w:trPr>
        <w:tc>
          <w:tcPr>
            <w:tcW w:w="1007"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201</w:t>
            </w:r>
            <w:r>
              <w:rPr>
                <w:rFonts w:ascii="宋体" w:hAnsi="宋体" w:eastAsia="宋体"/>
                <w:szCs w:val="21"/>
              </w:rPr>
              <w:tab/>
            </w:r>
          </w:p>
        </w:tc>
        <w:tc>
          <w:tcPr>
            <w:tcW w:w="2552"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一般公共服务支出</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4,847.53</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4,607.52</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240.02</w:t>
            </w: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68" w:hRule="atLeast"/>
        </w:trPr>
        <w:tc>
          <w:tcPr>
            <w:tcW w:w="1007"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20115</w:t>
            </w:r>
          </w:p>
        </w:tc>
        <w:tc>
          <w:tcPr>
            <w:tcW w:w="2552"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工商行政管理事务</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4,847.53</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4,607.52</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240.02</w:t>
            </w: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68" w:hRule="atLeast"/>
        </w:trPr>
        <w:tc>
          <w:tcPr>
            <w:tcW w:w="1007"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2011501</w:t>
            </w:r>
          </w:p>
        </w:tc>
        <w:tc>
          <w:tcPr>
            <w:tcW w:w="2552"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行政运行</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3,385.66</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3,385.66</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68" w:hRule="atLeast"/>
        </w:trPr>
        <w:tc>
          <w:tcPr>
            <w:tcW w:w="1007"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2011502</w:t>
            </w:r>
          </w:p>
        </w:tc>
        <w:tc>
          <w:tcPr>
            <w:tcW w:w="2552"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一般行政管理事务</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527.15</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287.14</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240.02</w:t>
            </w: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68" w:hRule="atLeast"/>
        </w:trPr>
        <w:tc>
          <w:tcPr>
            <w:tcW w:w="1007"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2011504</w:t>
            </w:r>
            <w:r>
              <w:rPr>
                <w:rFonts w:ascii="宋体" w:hAnsi="宋体" w:eastAsia="宋体"/>
                <w:szCs w:val="21"/>
              </w:rPr>
              <w:tab/>
            </w:r>
          </w:p>
        </w:tc>
        <w:tc>
          <w:tcPr>
            <w:tcW w:w="2552"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工商行政管理专项</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111.67</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111.67</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68" w:hRule="atLeast"/>
        </w:trPr>
        <w:tc>
          <w:tcPr>
            <w:tcW w:w="1007"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2011505</w:t>
            </w:r>
          </w:p>
        </w:tc>
        <w:tc>
          <w:tcPr>
            <w:tcW w:w="2552"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执法办案专项</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55.36</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55.36</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68" w:hRule="atLeast"/>
        </w:trPr>
        <w:tc>
          <w:tcPr>
            <w:tcW w:w="1007"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2011506</w:t>
            </w:r>
          </w:p>
        </w:tc>
        <w:tc>
          <w:tcPr>
            <w:tcW w:w="2552"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消费者权益保护</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94.14</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94.14</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68" w:hRule="atLeast"/>
        </w:trPr>
        <w:tc>
          <w:tcPr>
            <w:tcW w:w="1007"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2011507</w:t>
            </w:r>
          </w:p>
        </w:tc>
        <w:tc>
          <w:tcPr>
            <w:tcW w:w="2552"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信息化建设</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39.61</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39.61</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68" w:hRule="atLeast"/>
        </w:trPr>
        <w:tc>
          <w:tcPr>
            <w:tcW w:w="1007"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2011550</w:t>
            </w:r>
            <w:r>
              <w:rPr>
                <w:rFonts w:ascii="宋体" w:hAnsi="宋体" w:eastAsia="宋体"/>
                <w:szCs w:val="21"/>
              </w:rPr>
              <w:tab/>
            </w:r>
          </w:p>
        </w:tc>
        <w:tc>
          <w:tcPr>
            <w:tcW w:w="2552"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事业运行</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633.94</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633.94</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68" w:hRule="atLeast"/>
        </w:trPr>
        <w:tc>
          <w:tcPr>
            <w:tcW w:w="1007"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205</w:t>
            </w:r>
          </w:p>
        </w:tc>
        <w:tc>
          <w:tcPr>
            <w:tcW w:w="2552"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教育支出</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29.74</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29.74</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68" w:hRule="atLeast"/>
        </w:trPr>
        <w:tc>
          <w:tcPr>
            <w:tcW w:w="1007"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20508</w:t>
            </w:r>
          </w:p>
        </w:tc>
        <w:tc>
          <w:tcPr>
            <w:tcW w:w="2552"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进修及培训</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29.74</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29.74</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68" w:hRule="atLeast"/>
        </w:trPr>
        <w:tc>
          <w:tcPr>
            <w:tcW w:w="1007"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2050803</w:t>
            </w:r>
          </w:p>
        </w:tc>
        <w:tc>
          <w:tcPr>
            <w:tcW w:w="2552"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eastAsia="宋体"/>
                <w:szCs w:val="21"/>
              </w:rPr>
            </w:pPr>
            <w:r>
              <w:rPr>
                <w:rFonts w:ascii="宋体" w:hAnsi="宋体"/>
                <w:szCs w:val="21"/>
              </w:rPr>
              <w:t>培训支出</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eastAsia="宋体"/>
                <w:szCs w:val="21"/>
              </w:rPr>
            </w:pPr>
            <w:r>
              <w:rPr>
                <w:rFonts w:ascii="宋体" w:hAnsi="宋体" w:eastAsia="宋体"/>
                <w:szCs w:val="21"/>
              </w:rPr>
              <w:t>29.74</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eastAsia="宋体"/>
                <w:szCs w:val="21"/>
              </w:rPr>
            </w:pPr>
            <w:r>
              <w:rPr>
                <w:rFonts w:ascii="宋体" w:hAnsi="宋体" w:eastAsia="宋体"/>
                <w:szCs w:val="21"/>
              </w:rPr>
              <w:t>29.74</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68" w:hRule="atLeast"/>
        </w:trPr>
        <w:tc>
          <w:tcPr>
            <w:tcW w:w="1007"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208</w:t>
            </w:r>
          </w:p>
        </w:tc>
        <w:tc>
          <w:tcPr>
            <w:tcW w:w="2552"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社会保障和就业支出</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341.40</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341.40</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68" w:hRule="atLeast"/>
        </w:trPr>
        <w:tc>
          <w:tcPr>
            <w:tcW w:w="1007"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20805</w:t>
            </w:r>
          </w:p>
        </w:tc>
        <w:tc>
          <w:tcPr>
            <w:tcW w:w="2552"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行政事业单位离退休</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341.40</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341.40</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68" w:hRule="atLeast"/>
        </w:trPr>
        <w:tc>
          <w:tcPr>
            <w:tcW w:w="1007"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2080505</w:t>
            </w:r>
          </w:p>
        </w:tc>
        <w:tc>
          <w:tcPr>
            <w:tcW w:w="2552"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机关事业单位基本养老保险缴费支出</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338.49</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338.49</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68" w:hRule="atLeast"/>
        </w:trPr>
        <w:tc>
          <w:tcPr>
            <w:tcW w:w="1007"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2080506</w:t>
            </w:r>
            <w:r>
              <w:rPr>
                <w:rFonts w:ascii="宋体" w:hAnsi="宋体" w:eastAsia="宋体"/>
                <w:szCs w:val="21"/>
              </w:rPr>
              <w:tab/>
            </w:r>
          </w:p>
        </w:tc>
        <w:tc>
          <w:tcPr>
            <w:tcW w:w="2552"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机关事业单位职业年金缴费支出</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ab/>
            </w:r>
            <w:r>
              <w:rPr>
                <w:rFonts w:ascii="宋体" w:hAnsi="宋体" w:eastAsia="宋体"/>
                <w:szCs w:val="21"/>
              </w:rPr>
              <w:t>2.91</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2.91</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68" w:hRule="atLeast"/>
        </w:trPr>
        <w:tc>
          <w:tcPr>
            <w:tcW w:w="1007"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210</w:t>
            </w:r>
            <w:r>
              <w:rPr>
                <w:rFonts w:ascii="宋体" w:hAnsi="宋体" w:eastAsia="宋体"/>
                <w:szCs w:val="21"/>
              </w:rPr>
              <w:tab/>
            </w:r>
          </w:p>
        </w:tc>
        <w:tc>
          <w:tcPr>
            <w:tcW w:w="2552"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医疗卫生与计划生育支出</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374.49</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374.49</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68" w:hRule="atLeast"/>
        </w:trPr>
        <w:tc>
          <w:tcPr>
            <w:tcW w:w="1007"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21011</w:t>
            </w:r>
          </w:p>
        </w:tc>
        <w:tc>
          <w:tcPr>
            <w:tcW w:w="2552"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行政事业单位医疗</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374.49</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374.49</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68" w:hRule="atLeast"/>
        </w:trPr>
        <w:tc>
          <w:tcPr>
            <w:tcW w:w="1007"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2101101</w:t>
            </w:r>
          </w:p>
        </w:tc>
        <w:tc>
          <w:tcPr>
            <w:tcW w:w="2552"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行政单位医疗</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316.21</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316.21</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68" w:hRule="atLeast"/>
        </w:trPr>
        <w:tc>
          <w:tcPr>
            <w:tcW w:w="1007"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2101102</w:t>
            </w:r>
          </w:p>
        </w:tc>
        <w:tc>
          <w:tcPr>
            <w:tcW w:w="2552"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事业单位医疗</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ab/>
            </w:r>
            <w:r>
              <w:rPr>
                <w:rFonts w:ascii="宋体" w:hAnsi="宋体" w:eastAsia="宋体"/>
                <w:szCs w:val="21"/>
              </w:rPr>
              <w:t>58.28</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58.28</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68" w:hRule="atLeast"/>
        </w:trPr>
        <w:tc>
          <w:tcPr>
            <w:tcW w:w="1007"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221</w:t>
            </w:r>
          </w:p>
        </w:tc>
        <w:tc>
          <w:tcPr>
            <w:tcW w:w="2552"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住房保障支出</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211.05</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211.05</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68" w:hRule="atLeast"/>
        </w:trPr>
        <w:tc>
          <w:tcPr>
            <w:tcW w:w="1007"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22102</w:t>
            </w:r>
          </w:p>
        </w:tc>
        <w:tc>
          <w:tcPr>
            <w:tcW w:w="2552"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住房改革支出</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211.05</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211.05</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468" w:hRule="atLeast"/>
        </w:trPr>
        <w:tc>
          <w:tcPr>
            <w:tcW w:w="1007"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eastAsia="宋体"/>
                <w:szCs w:val="21"/>
              </w:rPr>
              <w:t>2210201</w:t>
            </w:r>
          </w:p>
        </w:tc>
        <w:tc>
          <w:tcPr>
            <w:tcW w:w="2552"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szCs w:val="21"/>
              </w:rPr>
              <w:t>住房公积金</w:t>
            </w:r>
          </w:p>
        </w:tc>
        <w:tc>
          <w:tcPr>
            <w:tcW w:w="113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211.05</w:t>
            </w:r>
          </w:p>
        </w:tc>
        <w:tc>
          <w:tcPr>
            <w:tcW w:w="993"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eastAsia="宋体"/>
                <w:szCs w:val="21"/>
              </w:rPr>
              <w:t>211.05</w:t>
            </w:r>
          </w:p>
        </w:tc>
        <w:tc>
          <w:tcPr>
            <w:tcW w:w="851"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49"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51"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76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462"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748" w:hRule="atLeast"/>
        </w:trPr>
        <w:tc>
          <w:tcPr>
            <w:tcW w:w="9000" w:type="dxa"/>
            <w:gridSpan w:val="19"/>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Cs w:val="21"/>
              </w:rPr>
            </w:pPr>
            <w:r>
              <w:rPr>
                <w:rFonts w:ascii="宋体" w:hAnsi="宋体" w:cs="宋体"/>
                <w:color w:val="000000"/>
                <w:kern w:val="0"/>
                <w:szCs w:val="21"/>
              </w:rPr>
              <w:t>注：本表反映部门本年度各项支出情况。</w:t>
            </w:r>
          </w:p>
        </w:tc>
        <w:tc>
          <w:tcPr>
            <w:tcW w:w="462" w:type="dxa"/>
            <w:tcMar>
              <w:top w:w="0" w:type="dxa"/>
              <w:left w:w="0" w:type="dxa"/>
              <w:right w:w="0" w:type="dxa"/>
            </w:tcMar>
          </w:tcPr>
          <w:p>
            <w:pPr>
              <w:pStyle w:val="4"/>
              <w:widowControl w:val="0"/>
              <w:bidi w:val="0"/>
              <w:spacing w:beforeLines="0" w:beforeAutospacing="0" w:after="160" w:afterAutospacing="0"/>
            </w:pPr>
          </w:p>
        </w:tc>
      </w:tr>
    </w:tbl>
    <w:p>
      <w:pPr>
        <w:pStyle w:val="4"/>
        <w:widowControl/>
        <w:bidi w:val="0"/>
        <w:spacing w:beforeLines="0" w:beforeAutospacing="0" w:after="0" w:afterAutospacing="0" w:line="560" w:lineRule="exact"/>
        <w:ind w:firstLine="420" w:firstLineChars="200"/>
        <w:jc w:val="left"/>
        <w:sectPr>
          <w:pgSz w:w="11906" w:h="16838"/>
          <w:pgMar w:top="2098" w:right="1474" w:bottom="1984" w:left="1588" w:header="0" w:footer="0" w:gutter="0"/>
          <w:pgNumType w:fmt="decimal"/>
          <w:cols w:space="720" w:num="1"/>
          <w:formProt w:val="0"/>
          <w:docGrid w:type="lines" w:linePitch="312" w:charSpace="43007"/>
        </w:sectPr>
      </w:pPr>
      <w:r>
        <w:rPr>
          <w:rFonts w:ascii="宋体" w:hAnsi="宋体" w:eastAsia="宋体"/>
          <w:szCs w:val="21"/>
        </w:rPr>
        <w:tab/>
      </w:r>
      <w:r>
        <w:rPr>
          <w:rFonts w:ascii="宋体" w:hAnsi="宋体" w:eastAsia="宋体"/>
          <w:szCs w:val="21"/>
        </w:rPr>
        <w:tab/>
      </w:r>
      <w:r>
        <w:rPr>
          <w:rFonts w:ascii="宋体" w:hAnsi="宋体" w:eastAsia="宋体"/>
          <w:szCs w:val="21"/>
        </w:rPr>
        <w:tab/>
      </w:r>
      <w:r>
        <w:rPr>
          <w:rFonts w:ascii="宋体" w:hAnsi="宋体" w:eastAsia="宋体"/>
          <w:szCs w:val="21"/>
        </w:rPr>
        <w:tab/>
      </w:r>
      <w:r>
        <w:rPr>
          <w:rFonts w:ascii="宋体" w:hAnsi="宋体" w:eastAsia="宋体"/>
          <w:szCs w:val="21"/>
        </w:rPr>
        <w:tab/>
      </w:r>
      <w:r>
        <w:rPr>
          <w:rFonts w:ascii="宋体" w:hAnsi="宋体" w:eastAsia="宋体"/>
          <w:szCs w:val="21"/>
        </w:rPr>
        <w:tab/>
      </w:r>
      <w:r>
        <w:rPr>
          <w:rFonts w:ascii="宋体" w:hAnsi="宋体" w:eastAsia="宋体"/>
          <w:szCs w:val="21"/>
        </w:rPr>
        <w:tab/>
      </w:r>
      <w:r>
        <w:rPr>
          <w:rFonts w:ascii="宋体" w:hAnsi="宋体" w:eastAsia="宋体"/>
          <w:szCs w:val="21"/>
        </w:rPr>
        <w:tab/>
      </w:r>
      <w:r>
        <w:rPr>
          <w:rFonts w:ascii="宋体" w:hAnsi="宋体" w:eastAsia="宋体"/>
          <w:szCs w:val="21"/>
        </w:rPr>
        <w:tab/>
      </w:r>
      <w:r>
        <w:rPr>
          <w:rFonts w:ascii="宋体" w:hAnsi="宋体" w:eastAsia="宋体"/>
          <w:szCs w:val="21"/>
        </w:rPr>
        <w:tab/>
      </w:r>
      <w:r>
        <w:rPr>
          <w:rFonts w:ascii="宋体" w:hAnsi="宋体" w:eastAsia="宋体"/>
          <w:szCs w:val="21"/>
        </w:rPr>
        <w:tab/>
      </w:r>
      <w:r>
        <w:rPr>
          <w:rFonts w:ascii="宋体" w:hAnsi="宋体" w:eastAsia="宋体"/>
          <w:szCs w:val="21"/>
        </w:rPr>
        <w:tab/>
      </w:r>
      <w:r>
        <w:rPr>
          <w:rFonts w:ascii="仿宋_GB2312" w:hAnsi="仿宋_GB2312" w:eastAsia="仿宋_GB2312"/>
          <w:b/>
          <w:sz w:val="28"/>
          <w:szCs w:val="28"/>
        </w:rPr>
        <w:tab/>
      </w:r>
    </w:p>
    <w:tbl>
      <w:tblPr>
        <w:tblStyle w:val="2"/>
        <w:tblW w:w="8940" w:type="dxa"/>
        <w:tblInd w:w="15" w:type="dxa"/>
        <w:tblLayout w:type="fixed"/>
        <w:tblCellMar>
          <w:top w:w="15" w:type="dxa"/>
          <w:left w:w="15" w:type="dxa"/>
          <w:bottom w:w="0" w:type="dxa"/>
          <w:right w:w="15" w:type="dxa"/>
        </w:tblCellMar>
      </w:tblPr>
      <w:tblGrid>
        <w:gridCol w:w="1717"/>
        <w:gridCol w:w="745"/>
        <w:gridCol w:w="324"/>
        <w:gridCol w:w="850"/>
        <w:gridCol w:w="2124"/>
        <w:gridCol w:w="192"/>
        <w:gridCol w:w="359"/>
        <w:gridCol w:w="650"/>
        <w:gridCol w:w="226"/>
        <w:gridCol w:w="599"/>
        <w:gridCol w:w="277"/>
        <w:gridCol w:w="876"/>
      </w:tblGrid>
      <w:tr>
        <w:tblPrEx>
          <w:tblCellMar>
            <w:top w:w="15" w:type="dxa"/>
            <w:left w:w="15" w:type="dxa"/>
            <w:bottom w:w="0" w:type="dxa"/>
            <w:right w:w="15" w:type="dxa"/>
          </w:tblCellMar>
        </w:tblPrEx>
        <w:trPr>
          <w:trHeight w:val="152" w:hRule="atLeast"/>
        </w:trPr>
        <w:tc>
          <w:tcPr>
            <w:tcW w:w="8939" w:type="dxa"/>
            <w:gridSpan w:val="12"/>
            <w:vAlign w:val="center"/>
          </w:tcPr>
          <w:p>
            <w:pPr>
              <w:pStyle w:val="4"/>
              <w:widowControl w:val="0"/>
              <w:bidi w:val="0"/>
              <w:spacing w:beforeLines="0" w:beforeAutospacing="0" w:after="0" w:afterAutospacing="0" w:line="240" w:lineRule="atLeast"/>
              <w:jc w:val="center"/>
              <w:textAlignment w:val="center"/>
              <w:rPr>
                <w:rFonts w:ascii="黑体" w:hAnsi="黑体" w:eastAsia="黑体" w:cs="黑体"/>
                <w:color w:val="000000"/>
                <w:sz w:val="40"/>
                <w:szCs w:val="40"/>
              </w:rPr>
            </w:pPr>
            <w:r>
              <w:rPr>
                <w:rFonts w:ascii="黑体" w:hAnsi="黑体" w:eastAsia="黑体" w:cs="黑体"/>
                <w:color w:val="000000"/>
                <w:kern w:val="0"/>
                <w:sz w:val="40"/>
                <w:szCs w:val="40"/>
              </w:rPr>
              <w:t>财政拨款收入支出决</w:t>
            </w:r>
            <w:r>
              <mc:AlternateContent>
                <mc:Choice Requires="wpg">
                  <w:drawing>
                    <wp:anchor distT="0" distB="0" distL="114300" distR="114300" simplePos="0" relativeHeight="1024" behindDoc="1" locked="0" layoutInCell="1" allowOverlap="1">
                      <wp:simplePos x="0" y="0"/>
                      <wp:positionH relativeFrom="column">
                        <wp:posOffset>-1024890</wp:posOffset>
                      </wp:positionH>
                      <wp:positionV relativeFrom="page">
                        <wp:posOffset>-1027430</wp:posOffset>
                      </wp:positionV>
                      <wp:extent cx="3089275" cy="525780"/>
                      <wp:effectExtent l="0" t="0" r="0" b="0"/>
                      <wp:wrapNone/>
                      <wp:docPr id="26" name="组合 1050"/>
                      <wp:cNvGraphicFramePr/>
                      <a:graphic xmlns:a="http://schemas.openxmlformats.org/drawingml/2006/main">
                        <a:graphicData uri="http://schemas.microsoft.com/office/word/2010/wordprocessingGroup">
                          <wpg:wgp>
                            <wpg:cNvGrpSpPr/>
                            <wpg:grpSpPr>
                              <a:xfrm>
                                <a:off x="0" y="0"/>
                                <a:ext cx="3088800" cy="525240"/>
                                <a:chOff x="0" y="0"/>
                                <a:chExt cx="3088800" cy="525240"/>
                              </a:xfrm>
                            </wpg:grpSpPr>
                            <wps:wsp>
                              <wps:cNvPr id="27" name="矩形 27"/>
                              <wps:cNvSpPr/>
                              <wps:spPr>
                                <a:xfrm>
                                  <a:off x="0" y="0"/>
                                  <a:ext cx="3088800" cy="440640"/>
                                </a:xfrm>
                                <a:prstGeom prst="rect">
                                  <a:avLst/>
                                </a:prstGeom>
                                <a:solidFill>
                                  <a:srgbClr val="D8D8D8"/>
                                </a:solidFill>
                                <a:ln w="0">
                                  <a:noFill/>
                                </a:ln>
                              </wps:spPr>
                              <wps:bodyPr/>
                            </wps:wsp>
                            <wps:wsp>
                              <wps:cNvPr id="28" name="文本框 28"/>
                              <wps:cNvSpPr txBox="true"/>
                              <wps:spPr>
                                <a:xfrm>
                                  <a:off x="9360" y="103680"/>
                                  <a:ext cx="3008520" cy="421560"/>
                                </a:xfrm>
                                <a:prstGeom prst="rect">
                                  <a:avLst/>
                                </a:prstGeom>
                                <a:solidFill>
                                  <a:srgbClr val="AD002D"/>
                                </a:solidFill>
                                <a:ln w="25560">
                                  <a:solidFill>
                                    <a:srgbClr val="AF7621"/>
                                  </a:solidFill>
                                  <a:round/>
                                </a:ln>
                              </wps:spPr>
                              <wps:txb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2018年度部门决算☞决算报表</w:t>
                                    </w:r>
                                  </w:p>
                                  <w:p>
                                    <w:pPr>
                                      <w:overflowPunct w:val="0"/>
                                      <w:bidi w:val="0"/>
                                      <w:spacing w:beforeLines="0" w:beforeAutospacing="0" w:afterLines="0" w:afterAutospacing="0" w:line="240" w:lineRule="auto"/>
                                      <w:jc w:val="center"/>
                                    </w:pPr>
                                  </w:p>
                                </w:txbxContent>
                              </wps:txbx>
                              <wps:bodyPr wrap="square">
                                <a:noAutofit/>
                              </wps:bodyPr>
                            </wps:wsp>
                          </wpg:wgp>
                        </a:graphicData>
                      </a:graphic>
                    </wp:anchor>
                  </w:drawing>
                </mc:Choice>
                <mc:Fallback>
                  <w:pict>
                    <v:group id="组合 1050" o:spid="_x0000_s1026" o:spt="203" style="position:absolute;left:0pt;margin-left:-80.7pt;margin-top:-80.9pt;height:41.4pt;width:243.25pt;mso-position-vertical-relative:page;z-index:-503315456;mso-width-relative:page;mso-height-relative:page;" coordsize="3088800,525240" o:gfxdata="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BYAAABkcnMvUEsBAhQAFAAAAAgAh07iQPdU&#10;nWzbAAAADQEAAA8AAAAAAAAAAQAgAAAAOAAAAGRycy9kb3ducmV2LnhtbFBLAQIUABQAAAAIAIdO&#10;4kAKSVBjfAIAAD8GAAAOAAAAAAAAAAEAIAAAAEABAABkcnMvZTJvRG9jLnhtbFBLBQYAAAAABgAG&#10;AFkBAAAuBgAAAAA=&#10;">
                      <o:lock v:ext="edit" aspectratio="f"/>
                      <v:rect id="_x0000_s1026" o:spid="_x0000_s1026" o:spt="1" style="position:absolute;left:0;top:0;height:440640;width:3088800;" fillcolor="#D8D8D8" filled="t" stroked="f" coordsize="21600,21600" o:gfxdata="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Us5kb0AAADbAAAADwAAAAAAAAABACAAAAA4AAAAZHJzL2Rvd25yZXYu&#10;eG1sUEsBAhQAFAAAAAgAh07iQDMvBZ47AAAAOQAAABAAAAAAAAAAAQAgAAAAIgEAAGRycy9zaGFw&#10;ZXhtbC54bWxQSwUGAAAAAAYABgBbAQAAzAMAAAAA&#10;">
                        <v:fill on="t" focussize="0,0"/>
                        <v:stroke on="f" weight="0pt"/>
                        <v:imagedata o:title=""/>
                        <o:lock v:ext="edit" aspectratio="f"/>
                      </v:rect>
                      <v:shape id="_x0000_s1026" o:spid="_x0000_s1026" o:spt="202" type="#_x0000_t202" style="position:absolute;left:9360;top:103680;height:421560;width:3008520;" fillcolor="#AD002D" filled="t" stroked="t" coordsize="21600,21600" o:gfxdata="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067QB7oAAADbAAAADwAAAAAAAAABACAAAAA4AAAAZHJzL2Rvd25yZXYueG1s&#10;UEsBAhQAFAAAAAgAh07iQDMvBZ47AAAAOQAAABAAAAAAAAAAAQAgAAAAHwEAAGRycy9zaGFwZXht&#10;bC54bWxQSwUGAAAAAAYABgBbAQAAyQMAAAAA&#10;">
                        <v:fill on="t" focussize="0,0"/>
                        <v:stroke weight="2.01259842519685pt" color="#AF7621" joinstyle="round"/>
                        <v:imagedata o:title=""/>
                        <o:lock v:ext="edit" aspectratio="f"/>
                        <v:textbo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2018年度部门决算☞决算报表</w:t>
                              </w:r>
                            </w:p>
                            <w:p>
                              <w:pPr>
                                <w:overflowPunct w:val="0"/>
                                <w:bidi w:val="0"/>
                                <w:spacing w:beforeLines="0" w:beforeAutospacing="0" w:afterLines="0" w:afterAutospacing="0" w:line="240" w:lineRule="auto"/>
                                <w:jc w:val="center"/>
                              </w:pPr>
                            </w:p>
                          </w:txbxContent>
                        </v:textbox>
                      </v:shape>
                    </v:group>
                  </w:pict>
                </mc:Fallback>
              </mc:AlternateContent>
            </w:r>
            <w:r>
              <w:rPr>
                <w:rFonts w:ascii="黑体" w:hAnsi="黑体" w:eastAsia="黑体" w:cs="黑体"/>
                <w:color w:val="000000"/>
                <w:kern w:val="0"/>
                <w:sz w:val="40"/>
                <w:szCs w:val="40"/>
              </w:rPr>
              <w:t>算总表</w:t>
            </w:r>
          </w:p>
        </w:tc>
      </w:tr>
      <w:tr>
        <w:tblPrEx>
          <w:tblCellMar>
            <w:top w:w="15" w:type="dxa"/>
            <w:left w:w="15" w:type="dxa"/>
            <w:bottom w:w="0" w:type="dxa"/>
            <w:right w:w="15" w:type="dxa"/>
          </w:tblCellMar>
        </w:tblPrEx>
        <w:trPr>
          <w:trHeight w:val="90" w:hRule="atLeast"/>
        </w:trPr>
        <w:tc>
          <w:tcPr>
            <w:tcW w:w="1717" w:type="dxa"/>
            <w:vAlign w:val="center"/>
          </w:tcPr>
          <w:p>
            <w:pPr>
              <w:pStyle w:val="4"/>
              <w:widowControl w:val="0"/>
              <w:bidi w:val="0"/>
              <w:spacing w:beforeLines="0" w:beforeAutospacing="0" w:after="0" w:afterAutospacing="0" w:line="240" w:lineRule="atLeast"/>
              <w:rPr>
                <w:rFonts w:ascii="Arial" w:hAnsi="Arial" w:cs="Arial"/>
                <w:color w:val="000000"/>
                <w:sz w:val="20"/>
                <w:szCs w:val="20"/>
              </w:rPr>
            </w:pPr>
          </w:p>
        </w:tc>
        <w:tc>
          <w:tcPr>
            <w:tcW w:w="745" w:type="dxa"/>
            <w:vAlign w:val="center"/>
          </w:tcPr>
          <w:p>
            <w:pPr>
              <w:pStyle w:val="4"/>
              <w:widowControl w:val="0"/>
              <w:bidi w:val="0"/>
              <w:spacing w:beforeLines="0" w:beforeAutospacing="0" w:after="0" w:afterAutospacing="0" w:line="240" w:lineRule="atLeast"/>
              <w:rPr>
                <w:rFonts w:ascii="Arial" w:hAnsi="Arial" w:cs="Arial"/>
                <w:color w:val="000000"/>
                <w:sz w:val="20"/>
                <w:szCs w:val="20"/>
              </w:rPr>
            </w:pPr>
          </w:p>
        </w:tc>
        <w:tc>
          <w:tcPr>
            <w:tcW w:w="324" w:type="dxa"/>
            <w:vAlign w:val="center"/>
          </w:tcPr>
          <w:p>
            <w:pPr>
              <w:pStyle w:val="4"/>
              <w:widowControl w:val="0"/>
              <w:bidi w:val="0"/>
              <w:spacing w:beforeLines="0" w:beforeAutospacing="0" w:after="0" w:afterAutospacing="0" w:line="240" w:lineRule="atLeast"/>
              <w:rPr>
                <w:rFonts w:ascii="Arial" w:hAnsi="Arial" w:cs="Arial"/>
                <w:color w:val="000000"/>
                <w:sz w:val="20"/>
                <w:szCs w:val="20"/>
              </w:rPr>
            </w:pPr>
          </w:p>
        </w:tc>
        <w:tc>
          <w:tcPr>
            <w:tcW w:w="2974" w:type="dxa"/>
            <w:gridSpan w:val="2"/>
            <w:vAlign w:val="center"/>
          </w:tcPr>
          <w:p>
            <w:pPr>
              <w:pStyle w:val="4"/>
              <w:widowControl w:val="0"/>
              <w:bidi w:val="0"/>
              <w:spacing w:beforeLines="0" w:beforeAutospacing="0" w:after="0" w:afterAutospacing="0" w:line="240" w:lineRule="atLeast"/>
              <w:rPr>
                <w:rFonts w:ascii="Arial" w:hAnsi="Arial" w:cs="Arial"/>
                <w:color w:val="000000"/>
                <w:sz w:val="20"/>
                <w:szCs w:val="20"/>
              </w:rPr>
            </w:pPr>
          </w:p>
        </w:tc>
        <w:tc>
          <w:tcPr>
            <w:tcW w:w="551" w:type="dxa"/>
            <w:gridSpan w:val="2"/>
            <w:vAlign w:val="center"/>
          </w:tcPr>
          <w:p>
            <w:pPr>
              <w:pStyle w:val="4"/>
              <w:widowControl w:val="0"/>
              <w:bidi w:val="0"/>
              <w:spacing w:beforeLines="0" w:beforeAutospacing="0" w:after="0" w:afterAutospacing="0" w:line="240" w:lineRule="atLeast"/>
              <w:rPr>
                <w:rFonts w:ascii="Arial" w:hAnsi="Arial" w:cs="Arial"/>
                <w:color w:val="000000"/>
                <w:sz w:val="20"/>
                <w:szCs w:val="20"/>
              </w:rPr>
            </w:pPr>
          </w:p>
        </w:tc>
        <w:tc>
          <w:tcPr>
            <w:tcW w:w="650" w:type="dxa"/>
            <w:vAlign w:val="center"/>
          </w:tcPr>
          <w:p>
            <w:pPr>
              <w:pStyle w:val="4"/>
              <w:widowControl w:val="0"/>
              <w:bidi w:val="0"/>
              <w:spacing w:beforeLines="0" w:beforeAutospacing="0" w:after="0" w:afterAutospacing="0" w:line="240" w:lineRule="atLeast"/>
              <w:rPr>
                <w:rFonts w:ascii="Arial" w:hAnsi="Arial" w:cs="Arial"/>
                <w:color w:val="000000"/>
                <w:sz w:val="20"/>
                <w:szCs w:val="20"/>
              </w:rPr>
            </w:pPr>
          </w:p>
        </w:tc>
        <w:tc>
          <w:tcPr>
            <w:tcW w:w="825" w:type="dxa"/>
            <w:gridSpan w:val="2"/>
            <w:vAlign w:val="center"/>
          </w:tcPr>
          <w:p>
            <w:pPr>
              <w:pStyle w:val="4"/>
              <w:widowControl w:val="0"/>
              <w:bidi w:val="0"/>
              <w:spacing w:beforeLines="0" w:beforeAutospacing="0" w:after="0" w:afterAutospacing="0" w:line="240" w:lineRule="atLeast"/>
              <w:rPr>
                <w:rFonts w:ascii="Arial" w:hAnsi="Arial" w:cs="Arial"/>
                <w:color w:val="000000"/>
                <w:sz w:val="20"/>
                <w:szCs w:val="20"/>
              </w:rPr>
            </w:pPr>
          </w:p>
        </w:tc>
        <w:tc>
          <w:tcPr>
            <w:tcW w:w="1153" w:type="dxa"/>
            <w:gridSpan w:val="2"/>
            <w:vAlign w:val="center"/>
          </w:tcPr>
          <w:p>
            <w:pPr>
              <w:pStyle w:val="4"/>
              <w:widowControl w:val="0"/>
              <w:bidi w:val="0"/>
              <w:spacing w:beforeLines="0" w:beforeAutospacing="0" w:after="0" w:afterAutospacing="0" w:line="240" w:lineRule="atLeast"/>
              <w:jc w:val="right"/>
              <w:textAlignment w:val="center"/>
              <w:rPr>
                <w:rFonts w:ascii="宋体" w:hAnsi="宋体" w:cs="宋体"/>
                <w:color w:val="000000"/>
                <w:sz w:val="20"/>
                <w:szCs w:val="20"/>
              </w:rPr>
            </w:pPr>
            <w:r>
              <w:rPr>
                <w:rFonts w:ascii="宋体" w:hAnsi="宋体" w:cs="宋体"/>
                <w:color w:val="000000"/>
                <w:kern w:val="0"/>
                <w:sz w:val="20"/>
                <w:szCs w:val="20"/>
              </w:rPr>
              <w:t>公开04表</w:t>
            </w:r>
          </w:p>
        </w:tc>
      </w:tr>
      <w:tr>
        <w:tblPrEx>
          <w:tblCellMar>
            <w:top w:w="15" w:type="dxa"/>
            <w:left w:w="15" w:type="dxa"/>
            <w:bottom w:w="0" w:type="dxa"/>
            <w:right w:w="15" w:type="dxa"/>
          </w:tblCellMar>
        </w:tblPrEx>
        <w:trPr>
          <w:trHeight w:val="152" w:hRule="atLeast"/>
        </w:trPr>
        <w:tc>
          <w:tcPr>
            <w:tcW w:w="6311" w:type="dxa"/>
            <w:gridSpan w:val="7"/>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20"/>
                <w:szCs w:val="20"/>
              </w:rPr>
            </w:pPr>
            <w:r>
              <w:rPr>
                <w:rFonts w:ascii="宋体" w:hAnsi="宋体" w:cs="宋体"/>
                <w:color w:val="000000"/>
                <w:kern w:val="0"/>
                <w:sz w:val="20"/>
                <w:szCs w:val="20"/>
              </w:rPr>
              <w:t>部门：唐山市工商行政管理局</w:t>
            </w:r>
          </w:p>
        </w:tc>
        <w:tc>
          <w:tcPr>
            <w:tcW w:w="650" w:type="dxa"/>
            <w:vAlign w:val="center"/>
          </w:tcPr>
          <w:p>
            <w:pPr>
              <w:pStyle w:val="4"/>
              <w:widowControl w:val="0"/>
              <w:bidi w:val="0"/>
              <w:spacing w:beforeLines="0" w:beforeAutospacing="0" w:after="0" w:afterAutospacing="0" w:line="240" w:lineRule="atLeast"/>
              <w:rPr>
                <w:rFonts w:ascii="Arial" w:hAnsi="Arial" w:cs="Arial"/>
                <w:color w:val="000000"/>
                <w:sz w:val="20"/>
                <w:szCs w:val="20"/>
              </w:rPr>
            </w:pPr>
          </w:p>
        </w:tc>
        <w:tc>
          <w:tcPr>
            <w:tcW w:w="1978" w:type="dxa"/>
            <w:gridSpan w:val="4"/>
            <w:vAlign w:val="center"/>
          </w:tcPr>
          <w:p>
            <w:pPr>
              <w:pStyle w:val="4"/>
              <w:widowControl w:val="0"/>
              <w:bidi w:val="0"/>
              <w:spacing w:beforeLines="0" w:beforeAutospacing="0" w:after="0" w:afterAutospacing="0" w:line="240" w:lineRule="atLeast"/>
              <w:jc w:val="right"/>
              <w:textAlignment w:val="center"/>
              <w:rPr>
                <w:rFonts w:ascii="宋体" w:hAnsi="宋体" w:cs="宋体"/>
                <w:color w:val="000000"/>
                <w:sz w:val="20"/>
                <w:szCs w:val="20"/>
              </w:rPr>
            </w:pPr>
            <w:r>
              <w:rPr>
                <w:rFonts w:ascii="宋体" w:hAnsi="宋体" w:cs="宋体"/>
                <w:color w:val="000000"/>
                <w:kern w:val="0"/>
                <w:sz w:val="20"/>
                <w:szCs w:val="20"/>
              </w:rPr>
              <w:t>金额单位：万元</w:t>
            </w:r>
          </w:p>
        </w:tc>
      </w:tr>
      <w:tr>
        <w:tblPrEx>
          <w:tblCellMar>
            <w:top w:w="15" w:type="dxa"/>
            <w:left w:w="15" w:type="dxa"/>
            <w:bottom w:w="0" w:type="dxa"/>
            <w:right w:w="15" w:type="dxa"/>
          </w:tblCellMar>
        </w:tblPrEx>
        <w:trPr>
          <w:trHeight w:val="90" w:hRule="atLeast"/>
        </w:trPr>
        <w:tc>
          <w:tcPr>
            <w:tcW w:w="2786" w:type="dxa"/>
            <w:gridSpan w:val="3"/>
            <w:tcBorders>
              <w:top w:val="single" w:color="000000" w:sz="4" w:space="0"/>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20"/>
                <w:szCs w:val="20"/>
              </w:rPr>
            </w:pPr>
            <w:r>
              <w:rPr>
                <w:rFonts w:ascii="宋体" w:hAnsi="宋体" w:cs="宋体"/>
                <w:color w:val="000000"/>
                <w:kern w:val="0"/>
                <w:sz w:val="20"/>
                <w:szCs w:val="20"/>
              </w:rPr>
              <w:t>收     入</w:t>
            </w:r>
          </w:p>
        </w:tc>
        <w:tc>
          <w:tcPr>
            <w:tcW w:w="6153" w:type="dxa"/>
            <w:gridSpan w:val="9"/>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20"/>
                <w:szCs w:val="20"/>
              </w:rPr>
            </w:pPr>
            <w:r>
              <w:rPr>
                <w:rFonts w:ascii="宋体" w:hAnsi="宋体" w:cs="宋体"/>
                <w:color w:val="000000"/>
                <w:kern w:val="0"/>
                <w:sz w:val="20"/>
                <w:szCs w:val="20"/>
              </w:rPr>
              <w:t>支     出</w:t>
            </w:r>
          </w:p>
        </w:tc>
      </w:tr>
      <w:tr>
        <w:tblPrEx>
          <w:tblCellMar>
            <w:top w:w="15" w:type="dxa"/>
            <w:left w:w="15" w:type="dxa"/>
            <w:bottom w:w="0" w:type="dxa"/>
            <w:right w:w="15" w:type="dxa"/>
          </w:tblCellMar>
        </w:tblPrEx>
        <w:trPr>
          <w:trHeight w:val="17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项目</w:t>
            </w: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行次</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金额</w:t>
            </w: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项目</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行次</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一般公共预算财政拨款</w:t>
            </w: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政府性基金预算财政拨款</w:t>
            </w:r>
          </w:p>
        </w:tc>
      </w:tr>
      <w:tr>
        <w:tblPrEx>
          <w:tblCellMar>
            <w:top w:w="15" w:type="dxa"/>
            <w:left w:w="15" w:type="dxa"/>
            <w:bottom w:w="0" w:type="dxa"/>
            <w:right w:w="15" w:type="dxa"/>
          </w:tblCellMar>
        </w:tblPrEx>
        <w:trPr>
          <w:trHeight w:val="9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栏次</w:t>
            </w: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rPr>
                <w:rFonts w:ascii="宋体" w:hAnsi="宋体" w:cs="宋体"/>
                <w:color w:val="000000"/>
                <w:sz w:val="18"/>
                <w:szCs w:val="18"/>
              </w:rPr>
            </w:pP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栏次</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rPr>
                <w:rFonts w:ascii="宋体" w:hAnsi="宋体" w:cs="宋体"/>
                <w:color w:val="000000"/>
                <w:sz w:val="18"/>
                <w:szCs w:val="18"/>
              </w:rPr>
            </w:pP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4</w:t>
            </w:r>
          </w:p>
        </w:tc>
      </w:tr>
      <w:tr>
        <w:tblPrEx>
          <w:tblCellMar>
            <w:top w:w="15" w:type="dxa"/>
            <w:left w:w="15" w:type="dxa"/>
            <w:bottom w:w="0" w:type="dxa"/>
            <w:right w:w="15" w:type="dxa"/>
          </w:tblCellMar>
        </w:tblPrEx>
        <w:trPr>
          <w:trHeight w:val="12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一、一般公共预算财政拨款</w:t>
            </w: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r>
              <w:rPr>
                <w:rFonts w:ascii="宋体" w:hAnsi="宋体" w:cs="宋体"/>
                <w:color w:val="000000"/>
                <w:sz w:val="18"/>
                <w:szCs w:val="18"/>
              </w:rPr>
              <w:t>6024.39</w:t>
            </w: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一、一般公共服务支出</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29</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r>
              <w:rPr>
                <w:rFonts w:ascii="宋体" w:hAnsi="宋体" w:cs="宋体"/>
                <w:color w:val="000000"/>
                <w:sz w:val="18"/>
                <w:szCs w:val="18"/>
              </w:rPr>
              <w:t>4829.21</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r>
              <w:rPr>
                <w:rFonts w:ascii="宋体" w:hAnsi="宋体" w:cs="宋体"/>
                <w:color w:val="000000"/>
                <w:sz w:val="18"/>
                <w:szCs w:val="18"/>
              </w:rPr>
              <w:t>4829.21</w:t>
            </w: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12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二、政府性基金预算财政拨款</w:t>
            </w: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二、外交支出</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9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三、国防支出</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31</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9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四、公共安全支出</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32</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9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五、教育支出</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33</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r>
              <w:rPr>
                <w:rFonts w:ascii="宋体" w:hAnsi="宋体" w:cs="宋体"/>
                <w:color w:val="000000"/>
                <w:sz w:val="18"/>
                <w:szCs w:val="18"/>
              </w:rPr>
              <w:t>29.74</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r>
              <w:rPr>
                <w:rFonts w:ascii="宋体" w:hAnsi="宋体" w:cs="宋体"/>
                <w:color w:val="000000"/>
                <w:sz w:val="18"/>
                <w:szCs w:val="18"/>
              </w:rPr>
              <w:t>29.74</w:t>
            </w: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9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六、科学技术支出</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34</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9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七、文化体育与传媒支出</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35</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9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八、社会保障和就业支出</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36</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r>
              <w:rPr>
                <w:rFonts w:ascii="宋体" w:hAnsi="宋体" w:cs="宋体"/>
                <w:color w:val="000000"/>
                <w:sz w:val="18"/>
                <w:szCs w:val="18"/>
              </w:rPr>
              <w:t>341.40</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r>
              <w:rPr>
                <w:rFonts w:ascii="宋体" w:hAnsi="宋体" w:cs="宋体"/>
                <w:color w:val="000000"/>
                <w:sz w:val="18"/>
                <w:szCs w:val="18"/>
              </w:rPr>
              <w:t>341.40</w:t>
            </w: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9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6"/>
                <w:szCs w:val="16"/>
              </w:rPr>
              <w:t>九、医疗卫生与计划生育支出</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37</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r>
              <w:rPr>
                <w:rFonts w:ascii="宋体" w:hAnsi="宋体" w:cs="宋体"/>
                <w:color w:val="000000"/>
                <w:sz w:val="18"/>
                <w:szCs w:val="18"/>
              </w:rPr>
              <w:t>374.49</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r>
              <w:rPr>
                <w:rFonts w:ascii="宋体" w:hAnsi="宋体" w:cs="宋体"/>
                <w:color w:val="000000"/>
                <w:sz w:val="18"/>
                <w:szCs w:val="18"/>
              </w:rPr>
              <w:t>374.49</w:t>
            </w: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9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十、节能环保支出</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38</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9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11</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十一、城乡社区支出</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39</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9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十二、农林水支出</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40</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9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13</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十三、交通运输支出</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41</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9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十四、资源勘探信息等支出</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42</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9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十五、商业服务业等支出</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43</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9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16</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十六、金融支出</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44</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9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17</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十七、援助其他地区支出</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45</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9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18</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十八、国土海洋气象等支出</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46</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9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19</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十九、住房保障支出</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47</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r>
              <w:rPr>
                <w:rFonts w:ascii="宋体" w:hAnsi="宋体" w:cs="宋体"/>
                <w:color w:val="000000"/>
                <w:sz w:val="18"/>
                <w:szCs w:val="18"/>
              </w:rPr>
              <w:t>211.05</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r>
              <w:rPr>
                <w:rFonts w:ascii="宋体" w:hAnsi="宋体" w:cs="宋体"/>
                <w:color w:val="000000"/>
                <w:sz w:val="18"/>
                <w:szCs w:val="18"/>
              </w:rPr>
              <w:t>211.05</w:t>
            </w: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9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二十、粮油物资储备支出</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48</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9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21</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二十一、其他支出</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49</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9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22</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二十二、债务还本支出</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50</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9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23</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二十三、债务付息支出</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51</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9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b/>
                <w:color w:val="000000"/>
                <w:sz w:val="18"/>
                <w:szCs w:val="18"/>
              </w:rPr>
            </w:pPr>
            <w:r>
              <w:rPr>
                <w:rFonts w:ascii="宋体" w:hAnsi="宋体" w:cs="宋体"/>
                <w:b/>
                <w:color w:val="000000"/>
                <w:kern w:val="0"/>
                <w:sz w:val="18"/>
                <w:szCs w:val="18"/>
              </w:rPr>
              <w:t>本年收入合计</w:t>
            </w: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24</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r>
              <w:rPr>
                <w:rFonts w:ascii="宋体" w:hAnsi="宋体" w:cs="宋体"/>
                <w:color w:val="000000"/>
                <w:sz w:val="18"/>
                <w:szCs w:val="18"/>
              </w:rPr>
              <w:t xml:space="preserve">6024.39 </w:t>
            </w: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b/>
                <w:color w:val="000000"/>
                <w:sz w:val="18"/>
                <w:szCs w:val="18"/>
              </w:rPr>
            </w:pPr>
            <w:r>
              <w:rPr>
                <w:rFonts w:ascii="宋体" w:hAnsi="宋体" w:cs="宋体"/>
                <w:b/>
                <w:color w:val="000000"/>
                <w:kern w:val="0"/>
                <w:sz w:val="18"/>
                <w:szCs w:val="18"/>
              </w:rPr>
              <w:t>本年支出合计</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52</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r>
              <w:rPr>
                <w:rFonts w:ascii="宋体" w:hAnsi="宋体" w:cs="宋体"/>
                <w:color w:val="000000"/>
                <w:sz w:val="18"/>
                <w:szCs w:val="18"/>
              </w:rPr>
              <w:t>5785.89</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r>
              <w:rPr>
                <w:rFonts w:ascii="宋体" w:hAnsi="宋体" w:cs="宋体"/>
                <w:color w:val="000000"/>
                <w:sz w:val="18"/>
                <w:szCs w:val="18"/>
              </w:rPr>
              <w:t>5785.89</w:t>
            </w: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12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年初财政拨款结转和结余</w:t>
            </w: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r>
              <w:rPr>
                <w:rFonts w:ascii="宋体" w:hAnsi="宋体" w:cs="宋体"/>
                <w:color w:val="000000"/>
                <w:sz w:val="18"/>
                <w:szCs w:val="18"/>
              </w:rPr>
              <w:t>18.28</w:t>
            </w: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年末财政拨款结转和结余</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53</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r>
              <w:rPr>
                <w:rFonts w:ascii="宋体" w:hAnsi="宋体" w:cs="宋体"/>
                <w:color w:val="000000"/>
                <w:sz w:val="18"/>
                <w:szCs w:val="18"/>
              </w:rPr>
              <w:t>256.78</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r>
              <w:rPr>
                <w:rFonts w:ascii="宋体" w:hAnsi="宋体" w:cs="宋体"/>
                <w:color w:val="000000"/>
                <w:sz w:val="18"/>
                <w:szCs w:val="18"/>
              </w:rPr>
              <w:t>256.78</w:t>
            </w: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12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 xml:space="preserve">  一般公共预算财政拨款</w:t>
            </w: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26</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r>
              <w:rPr>
                <w:rFonts w:ascii="宋体" w:hAnsi="宋体" w:cs="宋体"/>
                <w:color w:val="000000"/>
                <w:sz w:val="18"/>
                <w:szCs w:val="18"/>
              </w:rPr>
              <w:t>18.28</w:t>
            </w: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54</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12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 xml:space="preserve">  政府性基金预算财政拨款</w:t>
            </w: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27</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 w:val="18"/>
                <w:szCs w:val="18"/>
              </w:rPr>
            </w:pP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55</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90" w:hRule="atLeast"/>
        </w:trPr>
        <w:tc>
          <w:tcPr>
            <w:tcW w:w="2462" w:type="dxa"/>
            <w:gridSpan w:val="2"/>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b/>
                <w:color w:val="000000"/>
                <w:sz w:val="18"/>
                <w:szCs w:val="18"/>
              </w:rPr>
            </w:pPr>
            <w:r>
              <w:rPr>
                <w:rFonts w:ascii="宋体" w:hAnsi="宋体" w:cs="宋体"/>
                <w:b/>
                <w:color w:val="000000"/>
                <w:kern w:val="0"/>
                <w:sz w:val="18"/>
                <w:szCs w:val="18"/>
              </w:rPr>
              <w:t>总计</w:t>
            </w:r>
          </w:p>
        </w:tc>
        <w:tc>
          <w:tcPr>
            <w:tcW w:w="324"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28</w:t>
            </w:r>
          </w:p>
        </w:tc>
        <w:tc>
          <w:tcPr>
            <w:tcW w:w="85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r>
              <w:rPr>
                <w:rFonts w:ascii="宋体" w:hAnsi="宋体" w:cs="宋体"/>
                <w:color w:val="000000"/>
                <w:sz w:val="18"/>
                <w:szCs w:val="18"/>
              </w:rPr>
              <w:t>6042.67</w:t>
            </w:r>
          </w:p>
        </w:tc>
        <w:tc>
          <w:tcPr>
            <w:tcW w:w="231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b/>
                <w:color w:val="000000"/>
                <w:sz w:val="18"/>
                <w:szCs w:val="18"/>
              </w:rPr>
            </w:pPr>
            <w:r>
              <w:rPr>
                <w:rFonts w:ascii="宋体" w:hAnsi="宋体" w:cs="宋体"/>
                <w:b/>
                <w:color w:val="000000"/>
                <w:kern w:val="0"/>
                <w:sz w:val="18"/>
                <w:szCs w:val="18"/>
              </w:rPr>
              <w:t>总计</w:t>
            </w:r>
          </w:p>
        </w:tc>
        <w:tc>
          <w:tcPr>
            <w:tcW w:w="35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 w:val="18"/>
                <w:szCs w:val="18"/>
              </w:rPr>
            </w:pPr>
            <w:r>
              <w:rPr>
                <w:rFonts w:ascii="宋体" w:hAnsi="宋体" w:cs="宋体"/>
                <w:color w:val="000000"/>
                <w:kern w:val="0"/>
                <w:sz w:val="18"/>
                <w:szCs w:val="18"/>
              </w:rPr>
              <w:t>56</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r>
              <w:rPr>
                <w:rFonts w:ascii="宋体" w:hAnsi="宋体" w:cs="宋体"/>
                <w:color w:val="000000"/>
                <w:sz w:val="18"/>
                <w:szCs w:val="18"/>
              </w:rPr>
              <w:t>6042.67</w:t>
            </w:r>
          </w:p>
        </w:tc>
        <w:tc>
          <w:tcPr>
            <w:tcW w:w="8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r>
              <w:rPr>
                <w:rFonts w:ascii="宋体" w:hAnsi="宋体" w:cs="宋体"/>
                <w:color w:val="000000"/>
                <w:sz w:val="18"/>
                <w:szCs w:val="18"/>
              </w:rPr>
              <w:t>6042.67</w:t>
            </w:r>
          </w:p>
        </w:tc>
        <w:tc>
          <w:tcPr>
            <w:tcW w:w="87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 w:val="18"/>
                <w:szCs w:val="18"/>
              </w:rPr>
            </w:pPr>
          </w:p>
        </w:tc>
      </w:tr>
      <w:tr>
        <w:tblPrEx>
          <w:tblCellMar>
            <w:top w:w="15" w:type="dxa"/>
            <w:left w:w="15" w:type="dxa"/>
            <w:bottom w:w="0" w:type="dxa"/>
            <w:right w:w="15" w:type="dxa"/>
          </w:tblCellMar>
        </w:tblPrEx>
        <w:trPr>
          <w:trHeight w:val="155" w:hRule="atLeast"/>
        </w:trPr>
        <w:tc>
          <w:tcPr>
            <w:tcW w:w="8939" w:type="dxa"/>
            <w:gridSpan w:val="12"/>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 w:val="18"/>
                <w:szCs w:val="18"/>
              </w:rPr>
            </w:pPr>
            <w:r>
              <w:rPr>
                <w:rFonts w:ascii="宋体" w:hAnsi="宋体" w:cs="宋体"/>
                <w:color w:val="000000"/>
                <w:kern w:val="0"/>
                <w:sz w:val="18"/>
                <w:szCs w:val="18"/>
              </w:rPr>
              <w:t>注：本表反映部门本年度一般公共预算财政拨款和政府性基金预算财政拨款的总收支和年末结转结余情况。</w:t>
            </w:r>
          </w:p>
        </w:tc>
      </w:tr>
    </w:tbl>
    <w:p>
      <w:pPr>
        <w:pStyle w:val="4"/>
        <w:widowControl/>
        <w:bidi w:val="0"/>
        <w:spacing w:beforeLines="0" w:beforeAutospacing="0" w:after="0" w:afterAutospacing="0" w:line="560" w:lineRule="exact"/>
        <w:jc w:val="left"/>
        <w:sectPr>
          <w:pgSz w:w="11906" w:h="16838"/>
          <w:pgMar w:top="2098" w:right="1474" w:bottom="1984" w:left="1588" w:header="0" w:footer="0" w:gutter="0"/>
          <w:pgNumType w:fmt="decimal"/>
          <w:cols w:space="720" w:num="1"/>
          <w:formProt w:val="0"/>
          <w:docGrid w:type="lines" w:linePitch="312" w:charSpace="43007"/>
        </w:sectPr>
      </w:pPr>
    </w:p>
    <w:tbl>
      <w:tblPr>
        <w:tblStyle w:val="2"/>
        <w:tblW w:w="9883" w:type="dxa"/>
        <w:tblInd w:w="-112" w:type="dxa"/>
        <w:tblLayout w:type="fixed"/>
        <w:tblCellMar>
          <w:top w:w="15" w:type="dxa"/>
          <w:left w:w="15" w:type="dxa"/>
          <w:bottom w:w="0" w:type="dxa"/>
          <w:right w:w="15" w:type="dxa"/>
        </w:tblCellMar>
      </w:tblPr>
      <w:tblGrid>
        <w:gridCol w:w="443"/>
        <w:gridCol w:w="319"/>
        <w:gridCol w:w="357"/>
        <w:gridCol w:w="2854"/>
        <w:gridCol w:w="846"/>
        <w:gridCol w:w="51"/>
        <w:gridCol w:w="995"/>
        <w:gridCol w:w="373"/>
        <w:gridCol w:w="523"/>
        <w:gridCol w:w="894"/>
        <w:gridCol w:w="1331"/>
        <w:gridCol w:w="896"/>
      </w:tblGrid>
      <w:tr>
        <w:tblPrEx>
          <w:tblCellMar>
            <w:top w:w="15" w:type="dxa"/>
            <w:left w:w="15" w:type="dxa"/>
            <w:bottom w:w="0" w:type="dxa"/>
            <w:right w:w="15" w:type="dxa"/>
          </w:tblCellMar>
        </w:tblPrEx>
        <w:trPr>
          <w:trHeight w:val="600" w:hRule="atLeast"/>
        </w:trPr>
        <w:tc>
          <w:tcPr>
            <w:tcW w:w="8986" w:type="dxa"/>
            <w:gridSpan w:val="11"/>
            <w:vAlign w:val="bottom"/>
          </w:tcPr>
          <w:p>
            <w:pPr>
              <w:pStyle w:val="4"/>
              <w:widowControl w:val="0"/>
              <w:bidi w:val="0"/>
              <w:spacing w:beforeLines="0" w:beforeAutospacing="0" w:after="0" w:afterAutospacing="0" w:line="240" w:lineRule="auto"/>
              <w:jc w:val="center"/>
              <w:textAlignment w:val="bottom"/>
              <w:rPr>
                <w:rFonts w:ascii="黑体" w:hAnsi="黑体" w:eastAsia="黑体" w:cs="黑体"/>
                <w:color w:val="000000"/>
                <w:sz w:val="40"/>
                <w:szCs w:val="40"/>
              </w:rPr>
            </w:pPr>
            <w:r>
              <w:rPr>
                <w:rFonts w:ascii="黑体" w:hAnsi="黑体" w:eastAsia="黑体" w:cs="黑体"/>
                <w:color w:val="000000"/>
                <w:kern w:val="0"/>
                <w:sz w:val="40"/>
                <w:szCs w:val="40"/>
              </w:rPr>
              <w:t>一般公共预算财政拨</w:t>
            </w:r>
            <w:r>
              <mc:AlternateContent>
                <mc:Choice Requires="wpg">
                  <w:drawing>
                    <wp:anchor distT="0" distB="0" distL="114300" distR="114300" simplePos="0" relativeHeight="1024" behindDoc="1" locked="0" layoutInCell="1" allowOverlap="1">
                      <wp:simplePos x="0" y="0"/>
                      <wp:positionH relativeFrom="column">
                        <wp:posOffset>-1024890</wp:posOffset>
                      </wp:positionH>
                      <wp:positionV relativeFrom="page">
                        <wp:posOffset>-1027430</wp:posOffset>
                      </wp:positionV>
                      <wp:extent cx="3089275" cy="525780"/>
                      <wp:effectExtent l="0" t="0" r="0" b="0"/>
                      <wp:wrapNone/>
                      <wp:docPr id="29" name="组合 1053"/>
                      <wp:cNvGraphicFramePr/>
                      <a:graphic xmlns:a="http://schemas.openxmlformats.org/drawingml/2006/main">
                        <a:graphicData uri="http://schemas.microsoft.com/office/word/2010/wordprocessingGroup">
                          <wpg:wgp>
                            <wpg:cNvGrpSpPr/>
                            <wpg:grpSpPr>
                              <a:xfrm>
                                <a:off x="0" y="0"/>
                                <a:ext cx="3088800" cy="525240"/>
                                <a:chOff x="0" y="0"/>
                                <a:chExt cx="3088800" cy="525240"/>
                              </a:xfrm>
                            </wpg:grpSpPr>
                            <wps:wsp>
                              <wps:cNvPr id="30" name="矩形 30"/>
                              <wps:cNvSpPr/>
                              <wps:spPr>
                                <a:xfrm>
                                  <a:off x="0" y="0"/>
                                  <a:ext cx="3088800" cy="440640"/>
                                </a:xfrm>
                                <a:prstGeom prst="rect">
                                  <a:avLst/>
                                </a:prstGeom>
                                <a:solidFill>
                                  <a:srgbClr val="D8D8D8"/>
                                </a:solidFill>
                                <a:ln w="0">
                                  <a:noFill/>
                                </a:ln>
                              </wps:spPr>
                              <wps:bodyPr/>
                            </wps:wsp>
                            <wps:wsp>
                              <wps:cNvPr id="31" name="文本框 31"/>
                              <wps:cNvSpPr txBox="true"/>
                              <wps:spPr>
                                <a:xfrm>
                                  <a:off x="9360" y="103680"/>
                                  <a:ext cx="3008520" cy="421560"/>
                                </a:xfrm>
                                <a:prstGeom prst="rect">
                                  <a:avLst/>
                                </a:prstGeom>
                                <a:solidFill>
                                  <a:srgbClr val="AD002D"/>
                                </a:solidFill>
                                <a:ln w="25560">
                                  <a:solidFill>
                                    <a:srgbClr val="AF7621"/>
                                  </a:solidFill>
                                  <a:round/>
                                </a:ln>
                              </wps:spPr>
                              <wps:txb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2018年度部门决算☞决算报表</w:t>
                                    </w:r>
                                  </w:p>
                                  <w:p>
                                    <w:pPr>
                                      <w:overflowPunct w:val="0"/>
                                      <w:bidi w:val="0"/>
                                      <w:spacing w:beforeLines="0" w:beforeAutospacing="0" w:afterLines="0" w:afterAutospacing="0" w:line="240" w:lineRule="auto"/>
                                      <w:jc w:val="center"/>
                                    </w:pPr>
                                  </w:p>
                                </w:txbxContent>
                              </wps:txbx>
                              <wps:bodyPr wrap="square">
                                <a:noAutofit/>
                              </wps:bodyPr>
                            </wps:wsp>
                          </wpg:wgp>
                        </a:graphicData>
                      </a:graphic>
                    </wp:anchor>
                  </w:drawing>
                </mc:Choice>
                <mc:Fallback>
                  <w:pict>
                    <v:group id="组合 1053" o:spid="_x0000_s1026" o:spt="203" style="position:absolute;left:0pt;margin-left:-80.7pt;margin-top:-80.9pt;height:41.4pt;width:243.25pt;mso-position-vertical-relative:page;z-index:-503315456;mso-width-relative:page;mso-height-relative:page;" coordsize="3088800,525240" o:gfxdata="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WAAAAZHJzL1BLAQIUABQAAAAIAIdO4kD3VJ1s&#10;2wAAAA0BAAAPAAAAAAAAAAEAIAAAADgAAABkcnMvZG93bnJldi54bWxQSwECFAAUAAAACACHTuJA&#10;uKJqkXoCAAA/BgAADgAAAAAAAAABACAAAABAAQAAZHJzL2Uyb0RvYy54bWxQSwUGAAAAAAYABgBZ&#10;AQAALAYAAAAA&#10;">
                      <o:lock v:ext="edit" aspectratio="f"/>
                      <v:rect id="_x0000_s1026" o:spid="_x0000_s1026" o:spt="1" style="position:absolute;left:0;top:0;height:440640;width:3088800;" fillcolor="#D8D8D8" filled="t" stroked="f" coordsize="21600,21600" o:gfxdata="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jezc4uQAAANsAAAAPAAAAAAAAAAEAIAAAADgAAABkcnMvZG93bnJldi54bWxQ&#10;SwECFAAUAAAACACHTuJAMy8FnjsAAAA5AAAAEAAAAAAAAAABACAAAAAeAQAAZHJzL3NoYXBleG1s&#10;LnhtbFBLBQYAAAAABgAGAFsBAADIAwAAAAA=&#10;">
                        <v:fill on="t" focussize="0,0"/>
                        <v:stroke on="f" weight="0pt"/>
                        <v:imagedata o:title=""/>
                        <o:lock v:ext="edit" aspectratio="f"/>
                      </v:rect>
                      <v:shape id="_x0000_s1026" o:spid="_x0000_s1026" o:spt="202" type="#_x0000_t202" style="position:absolute;left:9360;top:103680;height:421560;width:3008520;" fillcolor="#AD002D" filled="t" stroked="t" coordsize="21600,21600" o:gfxdata="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HTe9HvwAAANsAAAAPAAAAAAAAAAEAIAAAADgAAABkcnMvZG93bnJl&#10;di54bWxQSwECFAAUAAAACACHTuJAMy8FnjsAAAA5AAAAEAAAAAAAAAABACAAAAAkAQAAZHJzL3No&#10;YXBleG1sLnhtbFBLBQYAAAAABgAGAFsBAADOAwAAAAA=&#10;">
                        <v:fill on="t" focussize="0,0"/>
                        <v:stroke weight="2.01259842519685pt" color="#AF7621" joinstyle="round"/>
                        <v:imagedata o:title=""/>
                        <o:lock v:ext="edit" aspectratio="f"/>
                        <v:textbo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2018年度部门决算☞决算报表</w:t>
                              </w:r>
                            </w:p>
                            <w:p>
                              <w:pPr>
                                <w:overflowPunct w:val="0"/>
                                <w:bidi w:val="0"/>
                                <w:spacing w:beforeLines="0" w:beforeAutospacing="0" w:afterLines="0" w:afterAutospacing="0" w:line="240" w:lineRule="auto"/>
                                <w:jc w:val="center"/>
                              </w:pPr>
                            </w:p>
                          </w:txbxContent>
                        </v:textbox>
                      </v:shape>
                    </v:group>
                  </w:pict>
                </mc:Fallback>
              </mc:AlternateContent>
            </w:r>
            <w:r>
              <w:rPr>
                <w:rFonts w:ascii="黑体" w:hAnsi="黑体" w:eastAsia="黑体" w:cs="黑体"/>
                <w:color w:val="000000"/>
                <w:kern w:val="0"/>
                <w:sz w:val="40"/>
                <w:szCs w:val="40"/>
              </w:rPr>
              <w:t>款支出决算表</w:t>
            </w: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34" w:hRule="atLeast"/>
        </w:trPr>
        <w:tc>
          <w:tcPr>
            <w:tcW w:w="443" w:type="dxa"/>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319" w:type="dxa"/>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357" w:type="dxa"/>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3700" w:type="dxa"/>
            <w:gridSpan w:val="2"/>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51" w:type="dxa"/>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1891" w:type="dxa"/>
            <w:gridSpan w:val="3"/>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3121" w:type="dxa"/>
            <w:gridSpan w:val="3"/>
            <w:vAlign w:val="center"/>
          </w:tcPr>
          <w:p>
            <w:pPr>
              <w:pStyle w:val="4"/>
              <w:widowControl w:val="0"/>
              <w:bidi w:val="0"/>
              <w:spacing w:beforeLines="0" w:beforeAutospacing="0" w:after="0" w:afterAutospacing="0" w:line="240" w:lineRule="atLeast"/>
              <w:ind w:right="420" w:firstLine="1155" w:firstLineChars="550"/>
              <w:textAlignment w:val="center"/>
              <w:rPr>
                <w:rFonts w:ascii="宋体" w:hAnsi="宋体" w:cs="宋体"/>
                <w:color w:val="000000"/>
                <w:szCs w:val="21"/>
              </w:rPr>
            </w:pPr>
            <w:r>
              <w:rPr>
                <w:rFonts w:ascii="宋体" w:hAnsi="宋体" w:cs="宋体"/>
                <w:color w:val="000000"/>
                <w:kern w:val="0"/>
                <w:szCs w:val="21"/>
              </w:rPr>
              <w:t>公开05表</w:t>
            </w:r>
          </w:p>
        </w:tc>
      </w:tr>
      <w:tr>
        <w:tblPrEx>
          <w:tblCellMar>
            <w:top w:w="15" w:type="dxa"/>
            <w:left w:w="15" w:type="dxa"/>
            <w:bottom w:w="0" w:type="dxa"/>
            <w:right w:w="15" w:type="dxa"/>
          </w:tblCellMar>
        </w:tblPrEx>
        <w:trPr>
          <w:trHeight w:val="334" w:hRule="atLeast"/>
        </w:trPr>
        <w:tc>
          <w:tcPr>
            <w:tcW w:w="3973" w:type="dxa"/>
            <w:gridSpan w:val="4"/>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Cs w:val="21"/>
              </w:rPr>
            </w:pPr>
            <w:r>
              <w:rPr>
                <w:rFonts w:ascii="宋体" w:hAnsi="宋体" w:cs="宋体"/>
                <w:color w:val="000000"/>
                <w:kern w:val="0"/>
                <w:szCs w:val="21"/>
              </w:rPr>
              <w:t>部门：</w:t>
            </w:r>
            <w:r>
              <w:rPr>
                <w:rFonts w:ascii="宋体" w:hAnsi="宋体" w:cs="宋体"/>
                <w:color w:val="000000"/>
                <w:kern w:val="0"/>
                <w:sz w:val="20"/>
                <w:szCs w:val="20"/>
              </w:rPr>
              <w:t>唐山市工商行政管理局</w:t>
            </w:r>
          </w:p>
        </w:tc>
        <w:tc>
          <w:tcPr>
            <w:tcW w:w="1892" w:type="dxa"/>
            <w:gridSpan w:val="3"/>
            <w:vAlign w:val="center"/>
          </w:tcPr>
          <w:p>
            <w:pPr>
              <w:pStyle w:val="4"/>
              <w:widowControl w:val="0"/>
              <w:bidi w:val="0"/>
              <w:spacing w:beforeLines="0" w:beforeAutospacing="0" w:after="0" w:afterAutospacing="0" w:line="240" w:lineRule="atLeast"/>
              <w:rPr>
                <w:rFonts w:ascii="Arial" w:hAnsi="Arial" w:cs="Arial"/>
                <w:color w:val="000000"/>
                <w:szCs w:val="21"/>
              </w:rPr>
            </w:pPr>
          </w:p>
        </w:tc>
        <w:tc>
          <w:tcPr>
            <w:tcW w:w="3121" w:type="dxa"/>
            <w:gridSpan w:val="4"/>
            <w:vAlign w:val="center"/>
          </w:tcPr>
          <w:p>
            <w:pPr>
              <w:pStyle w:val="4"/>
              <w:widowControl w:val="0"/>
              <w:bidi w:val="0"/>
              <w:spacing w:beforeLines="0" w:beforeAutospacing="0" w:after="0" w:afterAutospacing="0" w:line="240" w:lineRule="atLeast"/>
              <w:jc w:val="right"/>
              <w:textAlignment w:val="center"/>
              <w:rPr>
                <w:rFonts w:ascii="宋体" w:hAnsi="宋体" w:cs="宋体"/>
                <w:color w:val="000000"/>
                <w:szCs w:val="21"/>
              </w:rPr>
            </w:pPr>
            <w:r>
              <w:rPr>
                <w:rFonts w:ascii="宋体" w:hAnsi="宋体" w:cs="宋体"/>
                <w:color w:val="000000"/>
                <w:kern w:val="0"/>
                <w:szCs w:val="21"/>
              </w:rPr>
              <w:t>金额单位：万元</w:t>
            </w: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51" w:hRule="atLeast"/>
        </w:trPr>
        <w:tc>
          <w:tcPr>
            <w:tcW w:w="4819" w:type="dxa"/>
            <w:gridSpan w:val="5"/>
            <w:tcBorders>
              <w:top w:val="single" w:color="000000" w:sz="4" w:space="0"/>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项目</w:t>
            </w:r>
          </w:p>
        </w:tc>
        <w:tc>
          <w:tcPr>
            <w:tcW w:w="4167" w:type="dxa"/>
            <w:gridSpan w:val="6"/>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本年支出</w:t>
            </w: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34" w:hRule="atLeast"/>
        </w:trPr>
        <w:tc>
          <w:tcPr>
            <w:tcW w:w="1119" w:type="dxa"/>
            <w:gridSpan w:val="3"/>
            <w:vMerge w:val="restart"/>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功能分类科目编码</w:t>
            </w:r>
          </w:p>
        </w:tc>
        <w:tc>
          <w:tcPr>
            <w:tcW w:w="3700" w:type="dxa"/>
            <w:gridSpan w:val="2"/>
            <w:vMerge w:val="restart"/>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科目名称</w:t>
            </w:r>
          </w:p>
        </w:tc>
        <w:tc>
          <w:tcPr>
            <w:tcW w:w="1419" w:type="dxa"/>
            <w:gridSpan w:val="3"/>
            <w:vMerge w:val="restart"/>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小计</w:t>
            </w:r>
          </w:p>
        </w:tc>
        <w:tc>
          <w:tcPr>
            <w:tcW w:w="1417" w:type="dxa"/>
            <w:gridSpan w:val="2"/>
            <w:vMerge w:val="restart"/>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基本支出</w:t>
            </w:r>
          </w:p>
        </w:tc>
        <w:tc>
          <w:tcPr>
            <w:tcW w:w="1331" w:type="dxa"/>
            <w:vMerge w:val="restart"/>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项目支出</w:t>
            </w: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34" w:hRule="atLeast"/>
        </w:trPr>
        <w:tc>
          <w:tcPr>
            <w:tcW w:w="1119" w:type="dxa"/>
            <w:gridSpan w:val="3"/>
            <w:vMerge w:val="continue"/>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rPr>
                <w:rFonts w:ascii="宋体" w:hAnsi="宋体" w:cs="宋体"/>
                <w:color w:val="000000"/>
                <w:szCs w:val="21"/>
              </w:rPr>
            </w:pPr>
          </w:p>
        </w:tc>
        <w:tc>
          <w:tcPr>
            <w:tcW w:w="3700" w:type="dxa"/>
            <w:gridSpan w:val="2"/>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rPr>
                <w:rFonts w:ascii="宋体" w:hAnsi="宋体" w:cs="宋体"/>
                <w:color w:val="000000"/>
                <w:szCs w:val="21"/>
              </w:rPr>
            </w:pPr>
          </w:p>
        </w:tc>
        <w:tc>
          <w:tcPr>
            <w:tcW w:w="1419" w:type="dxa"/>
            <w:gridSpan w:val="3"/>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rPr>
                <w:rFonts w:ascii="宋体" w:hAnsi="宋体" w:cs="宋体"/>
                <w:color w:val="000000"/>
                <w:szCs w:val="21"/>
              </w:rPr>
            </w:pPr>
          </w:p>
        </w:tc>
        <w:tc>
          <w:tcPr>
            <w:tcW w:w="1417" w:type="dxa"/>
            <w:gridSpan w:val="2"/>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rPr>
                <w:rFonts w:ascii="宋体" w:hAnsi="宋体" w:cs="宋体"/>
                <w:color w:val="000000"/>
                <w:szCs w:val="21"/>
              </w:rPr>
            </w:pPr>
          </w:p>
        </w:tc>
        <w:tc>
          <w:tcPr>
            <w:tcW w:w="1331" w:type="dxa"/>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rPr>
                <w:rFonts w:ascii="宋体" w:hAnsi="宋体" w:cs="宋体"/>
                <w:color w:val="000000"/>
                <w:szCs w:val="21"/>
              </w:rPr>
            </w:pP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12" w:hRule="atLeast"/>
        </w:trPr>
        <w:tc>
          <w:tcPr>
            <w:tcW w:w="1119" w:type="dxa"/>
            <w:gridSpan w:val="3"/>
            <w:vMerge w:val="continue"/>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rPr>
                <w:rFonts w:ascii="宋体" w:hAnsi="宋体" w:cs="宋体"/>
                <w:color w:val="000000"/>
                <w:szCs w:val="21"/>
              </w:rPr>
            </w:pPr>
          </w:p>
        </w:tc>
        <w:tc>
          <w:tcPr>
            <w:tcW w:w="3700" w:type="dxa"/>
            <w:gridSpan w:val="2"/>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rPr>
                <w:rFonts w:ascii="宋体" w:hAnsi="宋体" w:cs="宋体"/>
                <w:color w:val="000000"/>
                <w:szCs w:val="21"/>
              </w:rPr>
            </w:pPr>
          </w:p>
        </w:tc>
        <w:tc>
          <w:tcPr>
            <w:tcW w:w="1419" w:type="dxa"/>
            <w:gridSpan w:val="3"/>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rPr>
                <w:rFonts w:ascii="宋体" w:hAnsi="宋体" w:cs="宋体"/>
                <w:color w:val="000000"/>
                <w:szCs w:val="21"/>
              </w:rPr>
            </w:pPr>
          </w:p>
        </w:tc>
        <w:tc>
          <w:tcPr>
            <w:tcW w:w="1417" w:type="dxa"/>
            <w:gridSpan w:val="2"/>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rPr>
                <w:rFonts w:ascii="宋体" w:hAnsi="宋体" w:cs="宋体"/>
                <w:color w:val="000000"/>
                <w:szCs w:val="21"/>
              </w:rPr>
            </w:pPr>
          </w:p>
        </w:tc>
        <w:tc>
          <w:tcPr>
            <w:tcW w:w="1331" w:type="dxa"/>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rPr>
                <w:rFonts w:ascii="宋体" w:hAnsi="宋体" w:cs="宋体"/>
                <w:color w:val="000000"/>
                <w:szCs w:val="21"/>
              </w:rPr>
            </w:pP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4819" w:type="dxa"/>
            <w:gridSpan w:val="5"/>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栏次</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1</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2</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3</w:t>
            </w: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4819" w:type="dxa"/>
            <w:gridSpan w:val="5"/>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center"/>
              <w:textAlignment w:val="center"/>
              <w:rPr>
                <w:rFonts w:ascii="宋体" w:hAnsi="宋体" w:cs="宋体"/>
                <w:color w:val="000000"/>
                <w:szCs w:val="21"/>
              </w:rPr>
            </w:pPr>
            <w:r>
              <w:rPr>
                <w:rFonts w:ascii="宋体" w:hAnsi="宋体" w:cs="宋体"/>
                <w:color w:val="000000"/>
                <w:kern w:val="0"/>
                <w:szCs w:val="21"/>
              </w:rPr>
              <w:t>合计</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b/>
                <w:color w:val="000000"/>
                <w:szCs w:val="21"/>
              </w:rPr>
            </w:pPr>
            <w:r>
              <w:rPr>
                <w:rFonts w:ascii="宋体" w:hAnsi="宋体" w:cs="Arial"/>
                <w:b/>
                <w:bCs/>
                <w:color w:val="000000"/>
                <w:kern w:val="0"/>
                <w:sz w:val="22"/>
                <w:szCs w:val="22"/>
              </w:rPr>
              <w:t>5,785.89</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b/>
                <w:color w:val="000000"/>
                <w:szCs w:val="21"/>
              </w:rPr>
            </w:pPr>
            <w:r>
              <w:rPr>
                <w:rFonts w:cs="Arial"/>
                <w:b/>
                <w:bCs/>
                <w:color w:val="000000"/>
                <w:sz w:val="22"/>
                <w:szCs w:val="22"/>
              </w:rPr>
              <w:t>5,545.88</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b/>
                <w:color w:val="000000"/>
                <w:szCs w:val="21"/>
              </w:rPr>
            </w:pPr>
            <w:r>
              <w:rPr>
                <w:rFonts w:ascii="宋体" w:hAnsi="宋体" w:cs="Arial"/>
                <w:b/>
                <w:bCs/>
                <w:color w:val="000000"/>
                <w:kern w:val="0"/>
                <w:sz w:val="22"/>
                <w:szCs w:val="22"/>
              </w:rPr>
              <w:t>240.02</w:t>
            </w: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11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201</w:t>
            </w:r>
          </w:p>
        </w:tc>
        <w:tc>
          <w:tcPr>
            <w:tcW w:w="3700"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一般公共服务支出</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4,829.21</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4589.20</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240.02</w:t>
            </w: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11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20115</w:t>
            </w:r>
          </w:p>
        </w:tc>
        <w:tc>
          <w:tcPr>
            <w:tcW w:w="3700"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工商行政管理事务</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4,829.21</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4589.20</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240.02</w:t>
            </w: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11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2011501</w:t>
            </w:r>
          </w:p>
        </w:tc>
        <w:tc>
          <w:tcPr>
            <w:tcW w:w="3700"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行政运行</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3,385.52</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3,385.52</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11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2011502</w:t>
            </w:r>
          </w:p>
        </w:tc>
        <w:tc>
          <w:tcPr>
            <w:tcW w:w="3700"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一般行政管理事务</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520.49</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宋体"/>
                <w:color w:val="000000"/>
                <w:szCs w:val="21"/>
              </w:rPr>
              <w:t>280.48</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240.02</w:t>
            </w: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11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2011504</w:t>
            </w:r>
          </w:p>
        </w:tc>
        <w:tc>
          <w:tcPr>
            <w:tcW w:w="3700"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工商行政管理专项</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104.13</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104.13</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11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2011505</w:t>
            </w:r>
          </w:p>
        </w:tc>
        <w:tc>
          <w:tcPr>
            <w:tcW w:w="3700"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执法办案专项</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55.36</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55.36</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11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2011506</w:t>
            </w:r>
          </w:p>
        </w:tc>
        <w:tc>
          <w:tcPr>
            <w:tcW w:w="3700"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消费者权益保护</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90.15</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90.15</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11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2011507</w:t>
            </w:r>
          </w:p>
        </w:tc>
        <w:tc>
          <w:tcPr>
            <w:tcW w:w="3700"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信息化建设</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39.61</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39.61</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11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2011550</w:t>
            </w:r>
          </w:p>
        </w:tc>
        <w:tc>
          <w:tcPr>
            <w:tcW w:w="3700"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事业运行</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633.94</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633.94</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11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205</w:t>
            </w:r>
          </w:p>
        </w:tc>
        <w:tc>
          <w:tcPr>
            <w:tcW w:w="3700"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教育支出</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29.74</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29.74</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11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20508</w:t>
            </w:r>
          </w:p>
        </w:tc>
        <w:tc>
          <w:tcPr>
            <w:tcW w:w="3700"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进修及培训</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29.74</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29.74</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11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2050803</w:t>
            </w:r>
          </w:p>
        </w:tc>
        <w:tc>
          <w:tcPr>
            <w:tcW w:w="3700"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培训支出</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29.74</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29.74</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11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208</w:t>
            </w:r>
          </w:p>
        </w:tc>
        <w:tc>
          <w:tcPr>
            <w:tcW w:w="3700"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社会保障和就业支出</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341.40</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341.40</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11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宋体"/>
                <w:color w:val="000000"/>
                <w:szCs w:val="21"/>
              </w:rPr>
              <w:t>20805</w:t>
            </w:r>
          </w:p>
        </w:tc>
        <w:tc>
          <w:tcPr>
            <w:tcW w:w="3700"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行政事业单位离退休</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341.40</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341.40</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11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2080505</w:t>
            </w:r>
          </w:p>
        </w:tc>
        <w:tc>
          <w:tcPr>
            <w:tcW w:w="3700"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机关事业单位基本养老保险缴费支出</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338.49</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338.49</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11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2080506</w:t>
            </w:r>
          </w:p>
        </w:tc>
        <w:tc>
          <w:tcPr>
            <w:tcW w:w="3700"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机关事业单位职业年金缴费支出</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2.91</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2.91</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11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210</w:t>
            </w:r>
          </w:p>
        </w:tc>
        <w:tc>
          <w:tcPr>
            <w:tcW w:w="3700"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医疗卫生与计划生育支出</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374.49</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374.49</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11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21011</w:t>
            </w:r>
          </w:p>
        </w:tc>
        <w:tc>
          <w:tcPr>
            <w:tcW w:w="3700"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行政事业单位医疗</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374.49</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374.49</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11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2101101</w:t>
            </w:r>
          </w:p>
        </w:tc>
        <w:tc>
          <w:tcPr>
            <w:tcW w:w="3700"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行政单位医疗</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316.21</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316.21</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11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2101102</w:t>
            </w:r>
          </w:p>
        </w:tc>
        <w:tc>
          <w:tcPr>
            <w:tcW w:w="3700"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事业单位医疗</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58.28</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58.28</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11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221</w:t>
            </w:r>
          </w:p>
        </w:tc>
        <w:tc>
          <w:tcPr>
            <w:tcW w:w="3700"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住房保障支出</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211.05</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211.05</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11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宋体"/>
                <w:color w:val="000000"/>
                <w:szCs w:val="21"/>
              </w:rPr>
              <w:t>22102</w:t>
            </w:r>
          </w:p>
        </w:tc>
        <w:tc>
          <w:tcPr>
            <w:tcW w:w="3700"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住房改革支出</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211.05</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211.05</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1119"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宋体"/>
                <w:color w:val="000000"/>
                <w:szCs w:val="21"/>
              </w:rPr>
              <w:t>2210201</w:t>
            </w:r>
          </w:p>
        </w:tc>
        <w:tc>
          <w:tcPr>
            <w:tcW w:w="3700"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left"/>
              <w:rPr>
                <w:rFonts w:ascii="宋体" w:hAnsi="宋体" w:cs="宋体"/>
                <w:color w:val="000000"/>
                <w:szCs w:val="21"/>
              </w:rPr>
            </w:pPr>
            <w:r>
              <w:rPr>
                <w:rFonts w:ascii="宋体" w:hAnsi="宋体" w:cs="Arial"/>
                <w:color w:val="000000"/>
                <w:kern w:val="0"/>
                <w:sz w:val="22"/>
                <w:szCs w:val="22"/>
              </w:rPr>
              <w:t>住房公积金</w:t>
            </w:r>
          </w:p>
        </w:tc>
        <w:tc>
          <w:tcPr>
            <w:tcW w:w="1419" w:type="dxa"/>
            <w:gridSpan w:val="3"/>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211.05</w:t>
            </w:r>
          </w:p>
        </w:tc>
        <w:tc>
          <w:tcPr>
            <w:tcW w:w="1417"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r>
              <w:rPr>
                <w:rFonts w:ascii="宋体" w:hAnsi="宋体" w:cs="Arial"/>
                <w:color w:val="000000"/>
                <w:kern w:val="0"/>
                <w:sz w:val="22"/>
                <w:szCs w:val="22"/>
              </w:rPr>
              <w:t>211.05</w:t>
            </w:r>
          </w:p>
        </w:tc>
        <w:tc>
          <w:tcPr>
            <w:tcW w:w="1331"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tLeast"/>
              <w:jc w:val="right"/>
              <w:rPr>
                <w:rFonts w:ascii="宋体" w:hAnsi="宋体" w:cs="宋体"/>
                <w:color w:val="000000"/>
                <w:szCs w:val="21"/>
              </w:rPr>
            </w:pPr>
          </w:p>
        </w:tc>
        <w:tc>
          <w:tcPr>
            <w:tcW w:w="896" w:type="dxa"/>
            <w:tcMar>
              <w:top w:w="0" w:type="dxa"/>
              <w:left w:w="0" w:type="dxa"/>
              <w:right w:w="0" w:type="dxa"/>
            </w:tcMar>
          </w:tcPr>
          <w:p>
            <w:pPr>
              <w:pStyle w:val="4"/>
              <w:widowControl w:val="0"/>
              <w:bidi w:val="0"/>
              <w:spacing w:beforeLines="0" w:beforeAutospacing="0" w:after="160" w:afterAutospacing="0"/>
            </w:pPr>
          </w:p>
        </w:tc>
      </w:tr>
      <w:tr>
        <w:tblPrEx>
          <w:tblCellMar>
            <w:top w:w="15" w:type="dxa"/>
            <w:left w:w="15" w:type="dxa"/>
            <w:bottom w:w="0" w:type="dxa"/>
            <w:right w:w="15" w:type="dxa"/>
          </w:tblCellMar>
        </w:tblPrEx>
        <w:trPr>
          <w:trHeight w:val="368" w:hRule="atLeast"/>
        </w:trPr>
        <w:tc>
          <w:tcPr>
            <w:tcW w:w="8986" w:type="dxa"/>
            <w:gridSpan w:val="11"/>
            <w:vAlign w:val="center"/>
          </w:tcPr>
          <w:p>
            <w:pPr>
              <w:pStyle w:val="4"/>
              <w:widowControl w:val="0"/>
              <w:bidi w:val="0"/>
              <w:spacing w:beforeLines="0" w:beforeAutospacing="0" w:after="0" w:afterAutospacing="0" w:line="240" w:lineRule="atLeast"/>
              <w:jc w:val="left"/>
              <w:textAlignment w:val="center"/>
              <w:rPr>
                <w:rFonts w:ascii="宋体" w:hAnsi="宋体" w:cs="宋体"/>
                <w:color w:val="000000"/>
                <w:szCs w:val="21"/>
              </w:rPr>
            </w:pPr>
            <w:r>
              <w:rPr>
                <w:rFonts w:ascii="宋体" w:hAnsi="宋体" w:cs="宋体"/>
                <w:color w:val="000000"/>
                <w:kern w:val="0"/>
                <w:szCs w:val="21"/>
              </w:rPr>
              <w:t>注：本表反映部门本年度一般公共预算财政拨款收入及支出情况。</w:t>
            </w:r>
          </w:p>
        </w:tc>
        <w:tc>
          <w:tcPr>
            <w:tcW w:w="896" w:type="dxa"/>
            <w:tcMar>
              <w:top w:w="0" w:type="dxa"/>
              <w:left w:w="0" w:type="dxa"/>
              <w:right w:w="0" w:type="dxa"/>
            </w:tcMar>
          </w:tcPr>
          <w:p>
            <w:pPr>
              <w:pStyle w:val="4"/>
              <w:widowControl w:val="0"/>
              <w:bidi w:val="0"/>
              <w:spacing w:beforeLines="0" w:beforeAutospacing="0" w:after="160" w:afterAutospacing="0"/>
            </w:pPr>
          </w:p>
        </w:tc>
      </w:tr>
    </w:tbl>
    <w:p>
      <w:pPr>
        <w:pStyle w:val="4"/>
        <w:widowControl/>
        <w:bidi w:val="0"/>
        <w:spacing w:beforeLines="0" w:beforeAutospacing="0" w:after="0" w:afterAutospacing="0" w:line="560" w:lineRule="exact"/>
        <w:jc w:val="left"/>
        <w:sectPr>
          <w:pgSz w:w="11906" w:h="16838"/>
          <w:pgMar w:top="2098" w:right="1474" w:bottom="1984" w:left="1588" w:header="0" w:footer="0" w:gutter="0"/>
          <w:pgNumType w:fmt="decimal"/>
          <w:cols w:space="720" w:num="1"/>
          <w:formProt w:val="0"/>
          <w:docGrid w:type="lines" w:linePitch="312" w:charSpace="43007"/>
        </w:sectPr>
      </w:pPr>
    </w:p>
    <w:tbl>
      <w:tblPr>
        <w:tblStyle w:val="2"/>
        <w:tblW w:w="9296" w:type="dxa"/>
        <w:jc w:val="center"/>
        <w:tblLayout w:type="fixed"/>
        <w:tblCellMar>
          <w:top w:w="15" w:type="dxa"/>
          <w:left w:w="15" w:type="dxa"/>
          <w:bottom w:w="0" w:type="dxa"/>
          <w:right w:w="15" w:type="dxa"/>
        </w:tblCellMar>
      </w:tblPr>
      <w:tblGrid>
        <w:gridCol w:w="673"/>
        <w:gridCol w:w="1598"/>
        <w:gridCol w:w="840"/>
        <w:gridCol w:w="477"/>
        <w:gridCol w:w="1762"/>
        <w:gridCol w:w="740"/>
        <w:gridCol w:w="561"/>
        <w:gridCol w:w="1787"/>
        <w:gridCol w:w="857"/>
      </w:tblGrid>
      <w:tr>
        <w:tblPrEx>
          <w:tblCellMar>
            <w:top w:w="15" w:type="dxa"/>
            <w:left w:w="15" w:type="dxa"/>
            <w:bottom w:w="0" w:type="dxa"/>
            <w:right w:w="15" w:type="dxa"/>
          </w:tblCellMar>
        </w:tblPrEx>
        <w:trPr>
          <w:trHeight w:val="526" w:hRule="atLeast"/>
          <w:jc w:val="center"/>
        </w:trPr>
        <w:tc>
          <w:tcPr>
            <w:tcW w:w="9295" w:type="dxa"/>
            <w:gridSpan w:val="9"/>
            <w:vAlign w:val="center"/>
          </w:tcPr>
          <w:p>
            <w:pPr>
              <w:pStyle w:val="4"/>
              <w:widowControl w:val="0"/>
              <w:bidi w:val="0"/>
              <w:spacing w:beforeLines="0" w:beforeAutospacing="0" w:after="0" w:afterAutospacing="0" w:line="240" w:lineRule="auto"/>
              <w:jc w:val="center"/>
              <w:textAlignment w:val="center"/>
              <w:rPr>
                <w:rFonts w:ascii="黑体" w:hAnsi="黑体" w:eastAsia="黑体" w:cs="黑体"/>
                <w:color w:val="000000"/>
                <w:sz w:val="40"/>
                <w:szCs w:val="40"/>
              </w:rPr>
            </w:pPr>
            <w:r>
              <w:rPr>
                <w:rFonts w:ascii="黑体" w:hAnsi="黑体" w:eastAsia="黑体" w:cs="黑体"/>
                <w:color w:val="000000"/>
                <w:kern w:val="0"/>
                <w:sz w:val="40"/>
                <w:szCs w:val="40"/>
              </w:rPr>
              <w:t>一般公共预算财政拨款基本支出决算表</w:t>
            </w:r>
          </w:p>
        </w:tc>
      </w:tr>
      <w:tr>
        <w:tblPrEx>
          <w:tblCellMar>
            <w:top w:w="15" w:type="dxa"/>
            <w:left w:w="15" w:type="dxa"/>
            <w:bottom w:w="0" w:type="dxa"/>
            <w:right w:w="15" w:type="dxa"/>
          </w:tblCellMar>
        </w:tblPrEx>
        <w:trPr>
          <w:trHeight w:val="269" w:hRule="atLeast"/>
          <w:jc w:val="center"/>
        </w:trPr>
        <w:tc>
          <w:tcPr>
            <w:tcW w:w="673" w:type="dxa"/>
            <w:vAlign w:val="center"/>
          </w:tcPr>
          <w:p>
            <w:pPr>
              <w:pStyle w:val="4"/>
              <w:widowControl w:val="0"/>
              <w:bidi w:val="0"/>
              <w:spacing w:beforeLines="0" w:beforeAutospacing="0" w:after="0" w:afterAutospacing="0" w:line="240" w:lineRule="auto"/>
              <w:rPr>
                <w:rFonts w:ascii="Arial" w:hAnsi="Arial" w:cs="Arial"/>
                <w:color w:val="000000"/>
                <w:sz w:val="22"/>
                <w:szCs w:val="22"/>
              </w:rPr>
            </w:pPr>
          </w:p>
        </w:tc>
        <w:tc>
          <w:tcPr>
            <w:tcW w:w="1598" w:type="dxa"/>
            <w:vAlign w:val="center"/>
          </w:tcPr>
          <w:p>
            <w:pPr>
              <w:pStyle w:val="4"/>
              <w:widowControl w:val="0"/>
              <w:bidi w:val="0"/>
              <w:spacing w:beforeLines="0" w:beforeAutospacing="0" w:after="0" w:afterAutospacing="0" w:line="240" w:lineRule="auto"/>
              <w:rPr>
                <w:rFonts w:ascii="Arial" w:hAnsi="Arial" w:cs="Arial"/>
                <w:color w:val="000000"/>
                <w:sz w:val="22"/>
                <w:szCs w:val="22"/>
              </w:rPr>
            </w:pPr>
          </w:p>
        </w:tc>
        <w:tc>
          <w:tcPr>
            <w:tcW w:w="840" w:type="dxa"/>
            <w:vAlign w:val="center"/>
          </w:tcPr>
          <w:p>
            <w:pPr>
              <w:pStyle w:val="4"/>
              <w:widowControl w:val="0"/>
              <w:bidi w:val="0"/>
              <w:spacing w:beforeLines="0" w:beforeAutospacing="0" w:after="0" w:afterAutospacing="0" w:line="240" w:lineRule="auto"/>
              <w:rPr>
                <w:rFonts w:ascii="Arial" w:hAnsi="Arial" w:cs="Arial"/>
                <w:color w:val="000000"/>
                <w:sz w:val="22"/>
                <w:szCs w:val="22"/>
              </w:rPr>
            </w:pPr>
          </w:p>
        </w:tc>
        <w:tc>
          <w:tcPr>
            <w:tcW w:w="477" w:type="dxa"/>
            <w:vAlign w:val="center"/>
          </w:tcPr>
          <w:p>
            <w:pPr>
              <w:pStyle w:val="4"/>
              <w:widowControl w:val="0"/>
              <w:bidi w:val="0"/>
              <w:spacing w:beforeLines="0" w:beforeAutospacing="0" w:after="0" w:afterAutospacing="0" w:line="240" w:lineRule="auto"/>
              <w:rPr>
                <w:rFonts w:ascii="Arial" w:hAnsi="Arial" w:cs="Arial"/>
                <w:color w:val="000000"/>
                <w:sz w:val="22"/>
                <w:szCs w:val="22"/>
              </w:rPr>
            </w:pPr>
          </w:p>
        </w:tc>
        <w:tc>
          <w:tcPr>
            <w:tcW w:w="1762" w:type="dxa"/>
            <w:vAlign w:val="center"/>
          </w:tcPr>
          <w:p>
            <w:pPr>
              <w:pStyle w:val="4"/>
              <w:widowControl w:val="0"/>
              <w:bidi w:val="0"/>
              <w:spacing w:beforeLines="0" w:beforeAutospacing="0" w:after="0" w:afterAutospacing="0" w:line="240" w:lineRule="auto"/>
              <w:rPr>
                <w:rFonts w:ascii="Arial" w:hAnsi="Arial" w:cs="Arial"/>
                <w:color w:val="000000"/>
                <w:sz w:val="22"/>
                <w:szCs w:val="22"/>
              </w:rPr>
            </w:pPr>
          </w:p>
        </w:tc>
        <w:tc>
          <w:tcPr>
            <w:tcW w:w="740" w:type="dxa"/>
            <w:vAlign w:val="center"/>
          </w:tcPr>
          <w:p>
            <w:pPr>
              <w:pStyle w:val="4"/>
              <w:widowControl w:val="0"/>
              <w:bidi w:val="0"/>
              <w:spacing w:beforeLines="0" w:beforeAutospacing="0" w:after="0" w:afterAutospacing="0" w:line="240" w:lineRule="auto"/>
              <w:rPr>
                <w:rFonts w:ascii="Arial" w:hAnsi="Arial" w:cs="Arial"/>
                <w:color w:val="000000"/>
                <w:sz w:val="22"/>
                <w:szCs w:val="22"/>
              </w:rPr>
            </w:pPr>
          </w:p>
        </w:tc>
        <w:tc>
          <w:tcPr>
            <w:tcW w:w="561" w:type="dxa"/>
            <w:vAlign w:val="center"/>
          </w:tcPr>
          <w:p>
            <w:pPr>
              <w:pStyle w:val="4"/>
              <w:widowControl w:val="0"/>
              <w:bidi w:val="0"/>
              <w:spacing w:beforeLines="0" w:beforeAutospacing="0" w:after="0" w:afterAutospacing="0" w:line="240" w:lineRule="auto"/>
              <w:rPr>
                <w:rFonts w:ascii="Arial" w:hAnsi="Arial" w:cs="Arial"/>
                <w:color w:val="000000"/>
                <w:sz w:val="22"/>
                <w:szCs w:val="22"/>
              </w:rPr>
            </w:pPr>
          </w:p>
        </w:tc>
        <w:tc>
          <w:tcPr>
            <w:tcW w:w="2644" w:type="dxa"/>
            <w:gridSpan w:val="2"/>
            <w:vAlign w:val="center"/>
          </w:tcPr>
          <w:p>
            <w:pPr>
              <w:pStyle w:val="4"/>
              <w:widowControl w:val="0"/>
              <w:bidi w:val="0"/>
              <w:spacing w:beforeLines="0" w:beforeAutospacing="0" w:after="0" w:afterAutospacing="0" w:line="240" w:lineRule="auto"/>
              <w:jc w:val="right"/>
              <w:textAlignment w:val="center"/>
              <w:rPr>
                <w:rFonts w:ascii="宋体" w:hAnsi="宋体" w:cs="宋体"/>
                <w:color w:val="000000"/>
                <w:sz w:val="22"/>
                <w:szCs w:val="22"/>
              </w:rPr>
            </w:pPr>
            <w:r>
              <w:rPr>
                <w:rFonts w:ascii="宋体" w:hAnsi="宋体" w:cs="宋体"/>
                <w:color w:val="000000"/>
                <w:kern w:val="0"/>
                <w:sz w:val="22"/>
                <w:szCs w:val="22"/>
              </w:rPr>
              <w:t>公开06表</w:t>
            </w:r>
          </w:p>
        </w:tc>
      </w:tr>
      <w:tr>
        <w:tblPrEx>
          <w:tblCellMar>
            <w:top w:w="15" w:type="dxa"/>
            <w:left w:w="15" w:type="dxa"/>
            <w:bottom w:w="0" w:type="dxa"/>
            <w:right w:w="15" w:type="dxa"/>
          </w:tblCellMar>
        </w:tblPrEx>
        <w:trPr>
          <w:trHeight w:val="269" w:hRule="atLeast"/>
          <w:jc w:val="center"/>
        </w:trPr>
        <w:tc>
          <w:tcPr>
            <w:tcW w:w="5350" w:type="dxa"/>
            <w:gridSpan w:val="5"/>
            <w:vAlign w:val="center"/>
          </w:tcPr>
          <w:p>
            <w:pPr>
              <w:pStyle w:val="4"/>
              <w:widowControl w:val="0"/>
              <w:bidi w:val="0"/>
              <w:spacing w:beforeLines="0" w:beforeAutospacing="0" w:after="0" w:afterAutospacing="0" w:line="240" w:lineRule="auto"/>
              <w:jc w:val="left"/>
              <w:textAlignment w:val="center"/>
              <w:rPr>
                <w:rFonts w:ascii="宋体" w:hAnsi="宋体" w:cs="宋体"/>
                <w:color w:val="000000"/>
                <w:sz w:val="22"/>
                <w:szCs w:val="22"/>
              </w:rPr>
            </w:pPr>
            <w:r>
              <w:rPr>
                <w:rFonts w:ascii="宋体" w:hAnsi="宋体" w:cs="宋体"/>
                <w:color w:val="000000"/>
                <w:kern w:val="0"/>
                <w:sz w:val="22"/>
                <w:szCs w:val="22"/>
              </w:rPr>
              <w:t>部门：</w:t>
            </w:r>
            <w:r>
              <w:rPr>
                <w:rFonts w:ascii="宋体" w:hAnsi="宋体" w:cs="宋体"/>
                <w:color w:val="000000"/>
                <w:kern w:val="0"/>
                <w:sz w:val="20"/>
                <w:szCs w:val="20"/>
              </w:rPr>
              <mc:AlternateContent>
                <mc:Choice Requires="wpg">
                  <w:drawing>
                    <wp:anchor distT="0" distB="0" distL="114300" distR="114300" simplePos="0" relativeHeight="1024" behindDoc="1" locked="0" layoutInCell="1" allowOverlap="1">
                      <wp:simplePos x="0" y="0"/>
                      <wp:positionH relativeFrom="column">
                        <wp:posOffset>-928370</wp:posOffset>
                      </wp:positionH>
                      <wp:positionV relativeFrom="page">
                        <wp:posOffset>-1640840</wp:posOffset>
                      </wp:positionV>
                      <wp:extent cx="3089275" cy="525780"/>
                      <wp:effectExtent l="0" t="0" r="0" b="0"/>
                      <wp:wrapNone/>
                      <wp:docPr id="32" name="组合 1056"/>
                      <wp:cNvGraphicFramePr/>
                      <a:graphic xmlns:a="http://schemas.openxmlformats.org/drawingml/2006/main">
                        <a:graphicData uri="http://schemas.microsoft.com/office/word/2010/wordprocessingGroup">
                          <wpg:wgp>
                            <wpg:cNvGrpSpPr/>
                            <wpg:grpSpPr>
                              <a:xfrm>
                                <a:off x="0" y="0"/>
                                <a:ext cx="3088800" cy="525240"/>
                                <a:chOff x="0" y="0"/>
                                <a:chExt cx="3088800" cy="525240"/>
                              </a:xfrm>
                            </wpg:grpSpPr>
                            <wps:wsp>
                              <wps:cNvPr id="33" name="矩形 33"/>
                              <wps:cNvSpPr/>
                              <wps:spPr>
                                <a:xfrm>
                                  <a:off x="0" y="0"/>
                                  <a:ext cx="3088800" cy="440640"/>
                                </a:xfrm>
                                <a:prstGeom prst="rect">
                                  <a:avLst/>
                                </a:prstGeom>
                                <a:solidFill>
                                  <a:srgbClr val="D8D8D8"/>
                                </a:solidFill>
                                <a:ln w="0">
                                  <a:noFill/>
                                </a:ln>
                              </wps:spPr>
                              <wps:bodyPr/>
                            </wps:wsp>
                            <wps:wsp>
                              <wps:cNvPr id="34" name="文本框 34"/>
                              <wps:cNvSpPr txBox="true"/>
                              <wps:spPr>
                                <a:xfrm>
                                  <a:off x="10080" y="103680"/>
                                  <a:ext cx="3008520" cy="421560"/>
                                </a:xfrm>
                                <a:prstGeom prst="rect">
                                  <a:avLst/>
                                </a:prstGeom>
                                <a:solidFill>
                                  <a:srgbClr val="AD002D"/>
                                </a:solidFill>
                                <a:ln w="25560">
                                  <a:solidFill>
                                    <a:srgbClr val="AF7621"/>
                                  </a:solidFill>
                                  <a:round/>
                                </a:ln>
                              </wps:spPr>
                              <wps:txb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2018年度部门决算☞决算报表</w:t>
                                    </w:r>
                                  </w:p>
                                  <w:p>
                                    <w:pPr>
                                      <w:overflowPunct w:val="0"/>
                                      <w:bidi w:val="0"/>
                                      <w:spacing w:beforeLines="0" w:beforeAutospacing="0" w:afterLines="0" w:afterAutospacing="0" w:line="240" w:lineRule="auto"/>
                                      <w:jc w:val="center"/>
                                    </w:pPr>
                                  </w:p>
                                </w:txbxContent>
                              </wps:txbx>
                              <wps:bodyPr wrap="square">
                                <a:noAutofit/>
                              </wps:bodyPr>
                            </wps:wsp>
                          </wpg:wgp>
                        </a:graphicData>
                      </a:graphic>
                    </wp:anchor>
                  </w:drawing>
                </mc:Choice>
                <mc:Fallback>
                  <w:pict>
                    <v:group id="组合 1056" o:spid="_x0000_s1026" o:spt="203" style="position:absolute;left:0pt;margin-left:-73.1pt;margin-top:-129.2pt;height:41.4pt;width:243.25pt;mso-position-vertical-relative:page;z-index:-503315456;mso-width-relative:page;mso-height-relative:page;" coordsize="3088800,525240" o:gfxdata="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CW6JU33QAA&#10;AA4BAAAPAAAAAAAAAAEAIAAAADgAAABkcnMvZG93bnJldi54bWxQSwECFAAUAAAACACHTuJA4GGx&#10;aXUCAABABgAADgAAAAAAAAABACAAAABCAQAAZHJzL2Uyb0RvYy54bWxQSwUGAAAAAAYABgBZAQAA&#10;KQYAAAAA&#10;">
                      <o:lock v:ext="edit" aspectratio="f"/>
                      <v:rect id="_x0000_s1026" o:spid="_x0000_s1026" o:spt="1" style="position:absolute;left:0;top:0;height:440640;width:3088800;" fillcolor="#D8D8D8" filled="t" stroked="f" coordsize="21600,21600" o:gfxdata="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6mpT70AAADbAAAADwAAAAAAAAABACAAAAA4AAAAZHJzL2Rvd25yZXYu&#10;eG1sUEsBAhQAFAAAAAgAh07iQDMvBZ47AAAAOQAAABAAAAAAAAAAAQAgAAAAIgEAAGRycy9zaGFw&#10;ZXhtbC54bWxQSwUGAAAAAAYABgBbAQAAzAMAAAAA&#10;">
                        <v:fill on="t" focussize="0,0"/>
                        <v:stroke on="f" weight="0pt"/>
                        <v:imagedata o:title=""/>
                        <o:lock v:ext="edit" aspectratio="f"/>
                      </v:rect>
                      <v:shape id="_x0000_s1026" o:spid="_x0000_s1026" o:spt="202" type="#_x0000_t202" style="position:absolute;left:10080;top:103680;height:421560;width:3008520;" fillcolor="#AD002D" filled="t" stroked="t" coordsize="21600,21600" o:gfxdata="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c6TN++AAAA2wAAAA8AAAAAAAAAAQAgAAAAOAAAAGRycy9kb3ducmV2&#10;LnhtbFBLAQIUABQAAAAIAIdO4kAzLwWeOwAAADkAAAAQAAAAAAAAAAEAIAAAACMBAABkcnMvc2hh&#10;cGV4bWwueG1sUEsFBgAAAAAGAAYAWwEAAM0DAAAAAA==&#10;">
                        <v:fill on="t" focussize="0,0"/>
                        <v:stroke weight="2.01259842519685pt" color="#AF7621" joinstyle="round"/>
                        <v:imagedata o:title=""/>
                        <o:lock v:ext="edit" aspectratio="f"/>
                        <v:textbo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2018年度部门决算☞决算报表</w:t>
                              </w:r>
                            </w:p>
                            <w:p>
                              <w:pPr>
                                <w:overflowPunct w:val="0"/>
                                <w:bidi w:val="0"/>
                                <w:spacing w:beforeLines="0" w:beforeAutospacing="0" w:afterLines="0" w:afterAutospacing="0" w:line="240" w:lineRule="auto"/>
                                <w:jc w:val="center"/>
                              </w:pPr>
                            </w:p>
                          </w:txbxContent>
                        </v:textbox>
                      </v:shape>
                    </v:group>
                  </w:pict>
                </mc:Fallback>
              </mc:AlternateContent>
            </w:r>
            <w:r>
              <w:rPr>
                <w:rFonts w:ascii="宋体" w:hAnsi="宋体" w:cs="宋体"/>
                <w:color w:val="000000"/>
                <w:kern w:val="0"/>
                <w:sz w:val="20"/>
                <w:szCs w:val="20"/>
              </w:rPr>
              <w:t>唐山市工商行政管理局</w:t>
            </w:r>
          </w:p>
        </w:tc>
        <w:tc>
          <w:tcPr>
            <w:tcW w:w="740" w:type="dxa"/>
            <w:vAlign w:val="center"/>
          </w:tcPr>
          <w:p>
            <w:pPr>
              <w:pStyle w:val="4"/>
              <w:widowControl w:val="0"/>
              <w:bidi w:val="0"/>
              <w:spacing w:beforeLines="0" w:beforeAutospacing="0" w:after="0" w:afterAutospacing="0" w:line="240" w:lineRule="auto"/>
              <w:rPr>
                <w:rFonts w:ascii="Arial" w:hAnsi="Arial" w:cs="Arial"/>
                <w:color w:val="000000"/>
                <w:sz w:val="22"/>
                <w:szCs w:val="22"/>
              </w:rPr>
            </w:pPr>
          </w:p>
        </w:tc>
        <w:tc>
          <w:tcPr>
            <w:tcW w:w="561" w:type="dxa"/>
            <w:vAlign w:val="center"/>
          </w:tcPr>
          <w:p>
            <w:pPr>
              <w:pStyle w:val="4"/>
              <w:widowControl w:val="0"/>
              <w:bidi w:val="0"/>
              <w:spacing w:beforeLines="0" w:beforeAutospacing="0" w:after="0" w:afterAutospacing="0" w:line="240" w:lineRule="auto"/>
              <w:rPr>
                <w:rFonts w:ascii="Arial" w:hAnsi="Arial" w:cs="Arial"/>
                <w:color w:val="000000"/>
                <w:sz w:val="22"/>
                <w:szCs w:val="22"/>
              </w:rPr>
            </w:pPr>
          </w:p>
        </w:tc>
        <w:tc>
          <w:tcPr>
            <w:tcW w:w="2644" w:type="dxa"/>
            <w:gridSpan w:val="2"/>
            <w:vAlign w:val="center"/>
          </w:tcPr>
          <w:p>
            <w:pPr>
              <w:pStyle w:val="4"/>
              <w:widowControl w:val="0"/>
              <w:bidi w:val="0"/>
              <w:spacing w:beforeLines="0" w:beforeAutospacing="0" w:after="0" w:afterAutospacing="0" w:line="240" w:lineRule="auto"/>
              <w:jc w:val="right"/>
              <w:textAlignment w:val="center"/>
              <w:rPr>
                <w:rFonts w:ascii="宋体" w:hAnsi="宋体" w:cs="宋体"/>
                <w:color w:val="000000"/>
                <w:sz w:val="22"/>
                <w:szCs w:val="22"/>
              </w:rPr>
            </w:pPr>
            <w:r>
              <w:rPr>
                <w:rFonts w:ascii="宋体" w:hAnsi="宋体" w:cs="宋体"/>
                <w:color w:val="000000"/>
                <w:kern w:val="0"/>
                <w:sz w:val="22"/>
                <w:szCs w:val="22"/>
              </w:rPr>
              <w:t>金额单位：万元</w:t>
            </w:r>
          </w:p>
        </w:tc>
      </w:tr>
      <w:tr>
        <w:tblPrEx>
          <w:tblCellMar>
            <w:top w:w="15" w:type="dxa"/>
            <w:left w:w="15" w:type="dxa"/>
            <w:bottom w:w="0" w:type="dxa"/>
            <w:right w:w="15" w:type="dxa"/>
          </w:tblCellMar>
        </w:tblPrEx>
        <w:trPr>
          <w:trHeight w:val="277" w:hRule="atLeast"/>
          <w:jc w:val="center"/>
        </w:trPr>
        <w:tc>
          <w:tcPr>
            <w:tcW w:w="3111" w:type="dxa"/>
            <w:gridSpan w:val="3"/>
            <w:tcBorders>
              <w:top w:val="single" w:color="000000" w:sz="4" w:space="0"/>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人员经费</w:t>
            </w:r>
          </w:p>
        </w:tc>
        <w:tc>
          <w:tcPr>
            <w:tcW w:w="6184" w:type="dxa"/>
            <w:gridSpan w:val="6"/>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公用经费</w:t>
            </w:r>
          </w:p>
        </w:tc>
      </w:tr>
      <w:tr>
        <w:tblPrEx>
          <w:tblCellMar>
            <w:top w:w="15" w:type="dxa"/>
            <w:left w:w="15" w:type="dxa"/>
            <w:bottom w:w="0" w:type="dxa"/>
            <w:right w:w="15" w:type="dxa"/>
          </w:tblCellMar>
        </w:tblPrEx>
        <w:trPr>
          <w:trHeight w:val="312" w:hRule="atLeast"/>
          <w:jc w:val="center"/>
        </w:trPr>
        <w:tc>
          <w:tcPr>
            <w:tcW w:w="673" w:type="dxa"/>
            <w:vMerge w:val="restart"/>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科目编码</w:t>
            </w:r>
          </w:p>
        </w:tc>
        <w:tc>
          <w:tcPr>
            <w:tcW w:w="1598" w:type="dxa"/>
            <w:vMerge w:val="restart"/>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科目名称</w:t>
            </w:r>
          </w:p>
        </w:tc>
        <w:tc>
          <w:tcPr>
            <w:tcW w:w="840" w:type="dxa"/>
            <w:vMerge w:val="restart"/>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决算数</w:t>
            </w:r>
          </w:p>
        </w:tc>
        <w:tc>
          <w:tcPr>
            <w:tcW w:w="477" w:type="dxa"/>
            <w:vMerge w:val="restart"/>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科目编码</w:t>
            </w:r>
          </w:p>
        </w:tc>
        <w:tc>
          <w:tcPr>
            <w:tcW w:w="1762" w:type="dxa"/>
            <w:vMerge w:val="restart"/>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科目名称</w:t>
            </w:r>
          </w:p>
        </w:tc>
        <w:tc>
          <w:tcPr>
            <w:tcW w:w="740" w:type="dxa"/>
            <w:vMerge w:val="restart"/>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决算数</w:t>
            </w:r>
          </w:p>
        </w:tc>
        <w:tc>
          <w:tcPr>
            <w:tcW w:w="561" w:type="dxa"/>
            <w:vMerge w:val="restart"/>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科目编码</w:t>
            </w:r>
          </w:p>
        </w:tc>
        <w:tc>
          <w:tcPr>
            <w:tcW w:w="1787" w:type="dxa"/>
            <w:vMerge w:val="restart"/>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科目名称</w:t>
            </w:r>
          </w:p>
        </w:tc>
        <w:tc>
          <w:tcPr>
            <w:tcW w:w="857" w:type="dxa"/>
            <w:vMerge w:val="restart"/>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决算数</w:t>
            </w:r>
          </w:p>
        </w:tc>
      </w:tr>
      <w:tr>
        <w:tblPrEx>
          <w:tblCellMar>
            <w:top w:w="15" w:type="dxa"/>
            <w:left w:w="15" w:type="dxa"/>
            <w:bottom w:w="0" w:type="dxa"/>
            <w:right w:w="15" w:type="dxa"/>
          </w:tblCellMar>
        </w:tblPrEx>
        <w:trPr>
          <w:trHeight w:val="312" w:hRule="atLeast"/>
          <w:jc w:val="center"/>
        </w:trPr>
        <w:tc>
          <w:tcPr>
            <w:tcW w:w="673" w:type="dxa"/>
            <w:vMerge w:val="continue"/>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 w:val="22"/>
                <w:szCs w:val="22"/>
              </w:rPr>
            </w:pPr>
          </w:p>
        </w:tc>
        <w:tc>
          <w:tcPr>
            <w:tcW w:w="1598" w:type="dxa"/>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 w:val="22"/>
                <w:szCs w:val="22"/>
              </w:rPr>
            </w:pPr>
          </w:p>
        </w:tc>
        <w:tc>
          <w:tcPr>
            <w:tcW w:w="840" w:type="dxa"/>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 w:val="22"/>
                <w:szCs w:val="22"/>
              </w:rPr>
            </w:pPr>
          </w:p>
        </w:tc>
        <w:tc>
          <w:tcPr>
            <w:tcW w:w="477" w:type="dxa"/>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 w:val="22"/>
                <w:szCs w:val="22"/>
              </w:rPr>
            </w:pPr>
          </w:p>
        </w:tc>
        <w:tc>
          <w:tcPr>
            <w:tcW w:w="1762" w:type="dxa"/>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 w:val="22"/>
                <w:szCs w:val="22"/>
              </w:rPr>
            </w:pPr>
          </w:p>
        </w:tc>
        <w:tc>
          <w:tcPr>
            <w:tcW w:w="740" w:type="dxa"/>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 w:val="22"/>
                <w:szCs w:val="22"/>
              </w:rPr>
            </w:pPr>
          </w:p>
        </w:tc>
        <w:tc>
          <w:tcPr>
            <w:tcW w:w="561" w:type="dxa"/>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 w:val="22"/>
                <w:szCs w:val="22"/>
              </w:rPr>
            </w:pPr>
          </w:p>
        </w:tc>
        <w:tc>
          <w:tcPr>
            <w:tcW w:w="1787" w:type="dxa"/>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 w:val="22"/>
                <w:szCs w:val="22"/>
              </w:rPr>
            </w:pPr>
          </w:p>
        </w:tc>
        <w:tc>
          <w:tcPr>
            <w:tcW w:w="857" w:type="dxa"/>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 w:val="22"/>
                <w:szCs w:val="22"/>
              </w:rPr>
            </w:pPr>
          </w:p>
        </w:tc>
      </w:tr>
      <w:tr>
        <w:tblPrEx>
          <w:tblCellMar>
            <w:top w:w="15" w:type="dxa"/>
            <w:left w:w="15" w:type="dxa"/>
            <w:bottom w:w="0" w:type="dxa"/>
            <w:right w:w="15" w:type="dxa"/>
          </w:tblCellMar>
        </w:tblPrEx>
        <w:trPr>
          <w:trHeight w:val="238"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301</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工资福利支出</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Arial"/>
                <w:color w:val="000000"/>
                <w:kern w:val="0"/>
                <w:sz w:val="16"/>
                <w:szCs w:val="16"/>
              </w:rPr>
              <w:t>3,690.28</w:t>
            </w: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商品和服务支出</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eastAsia="宋体" w:cs="Arial"/>
                <w:color w:val="000000"/>
                <w:kern w:val="0"/>
                <w:sz w:val="16"/>
                <w:szCs w:val="16"/>
              </w:rPr>
              <w:t>1,178.33</w:t>
            </w: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307</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债务利息及费用支出</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20"/>
                <w:szCs w:val="20"/>
              </w:rPr>
            </w:pPr>
          </w:p>
        </w:tc>
      </w:tr>
      <w:tr>
        <w:tblPrEx>
          <w:tblCellMar>
            <w:top w:w="15" w:type="dxa"/>
            <w:left w:w="15" w:type="dxa"/>
            <w:bottom w:w="0" w:type="dxa"/>
            <w:right w:w="15" w:type="dxa"/>
          </w:tblCellMar>
        </w:tblPrEx>
        <w:trPr>
          <w:trHeight w:val="238"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30101</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基本工资</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eastAsia="宋体" w:cs="Arial"/>
                <w:color w:val="000000"/>
                <w:kern w:val="0"/>
                <w:sz w:val="16"/>
                <w:szCs w:val="16"/>
              </w:rPr>
              <w:t>999.48</w:t>
            </w: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30201</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办公费</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51.75</w:t>
            </w: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30701</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国内债务付息</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20"/>
                <w:szCs w:val="20"/>
              </w:rPr>
            </w:pPr>
          </w:p>
        </w:tc>
      </w:tr>
      <w:tr>
        <w:tblPrEx>
          <w:tblCellMar>
            <w:top w:w="15" w:type="dxa"/>
            <w:left w:w="15" w:type="dxa"/>
            <w:bottom w:w="0" w:type="dxa"/>
            <w:right w:w="15" w:type="dxa"/>
          </w:tblCellMar>
        </w:tblPrEx>
        <w:trPr>
          <w:trHeight w:val="238"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30102</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津贴补贴</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848.85</w:t>
            </w: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30202</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印刷费</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47.65</w:t>
            </w: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30702</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国外债务付息</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20"/>
                <w:szCs w:val="20"/>
              </w:rPr>
            </w:pPr>
          </w:p>
        </w:tc>
      </w:tr>
      <w:tr>
        <w:tblPrEx>
          <w:tblCellMar>
            <w:top w:w="15" w:type="dxa"/>
            <w:left w:w="15" w:type="dxa"/>
            <w:bottom w:w="0" w:type="dxa"/>
            <w:right w:w="15" w:type="dxa"/>
          </w:tblCellMar>
        </w:tblPrEx>
        <w:trPr>
          <w:trHeight w:val="238"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30103</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奖金</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685.33</w:t>
            </w: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30203</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咨询费</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310</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资本性支出</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42.58</w:t>
            </w:r>
          </w:p>
        </w:tc>
      </w:tr>
      <w:tr>
        <w:tblPrEx>
          <w:tblCellMar>
            <w:top w:w="15" w:type="dxa"/>
            <w:left w:w="15" w:type="dxa"/>
            <w:bottom w:w="0" w:type="dxa"/>
            <w:right w:w="15" w:type="dxa"/>
          </w:tblCellMar>
        </w:tblPrEx>
        <w:trPr>
          <w:trHeight w:val="238"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30106</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伙食补助费</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30204</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手续费</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0.01</w:t>
            </w: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31001</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房屋建筑物购建</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p>
        </w:tc>
      </w:tr>
      <w:tr>
        <w:tblPrEx>
          <w:tblCellMar>
            <w:top w:w="15" w:type="dxa"/>
            <w:left w:w="15" w:type="dxa"/>
            <w:bottom w:w="0" w:type="dxa"/>
            <w:right w:w="15" w:type="dxa"/>
          </w:tblCellMar>
        </w:tblPrEx>
        <w:trPr>
          <w:trHeight w:val="238"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30107</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绩效工资</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189.18</w:t>
            </w: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30205</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水费</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2.19</w:t>
            </w: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31002</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办公设备购置</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12.22</w:t>
            </w:r>
          </w:p>
        </w:tc>
      </w:tr>
      <w:tr>
        <w:tblPrEx>
          <w:tblCellMar>
            <w:top w:w="15" w:type="dxa"/>
            <w:left w:w="15" w:type="dxa"/>
            <w:bottom w:w="0" w:type="dxa"/>
            <w:right w:w="15" w:type="dxa"/>
          </w:tblCellMar>
        </w:tblPrEx>
        <w:trPr>
          <w:trHeight w:val="425"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30108</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机关事业单位基本养老保险缴费</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338.49</w:t>
            </w: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30206</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电费</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31.32</w:t>
            </w: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31003</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专用设备购置</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29.00</w:t>
            </w:r>
          </w:p>
        </w:tc>
      </w:tr>
      <w:tr>
        <w:tblPrEx>
          <w:tblCellMar>
            <w:top w:w="15" w:type="dxa"/>
            <w:left w:w="15" w:type="dxa"/>
            <w:bottom w:w="0" w:type="dxa"/>
            <w:right w:w="15" w:type="dxa"/>
          </w:tblCellMar>
        </w:tblPrEx>
        <w:trPr>
          <w:trHeight w:val="238"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30109</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职业年金缴费</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2.91</w:t>
            </w: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30207</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邮电费</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113.85</w:t>
            </w: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31005</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基础设施建设</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20"/>
                <w:szCs w:val="20"/>
              </w:rPr>
            </w:pPr>
          </w:p>
        </w:tc>
      </w:tr>
      <w:tr>
        <w:tblPrEx>
          <w:tblCellMar>
            <w:top w:w="15" w:type="dxa"/>
            <w:left w:w="15" w:type="dxa"/>
            <w:bottom w:w="0" w:type="dxa"/>
            <w:right w:w="15" w:type="dxa"/>
          </w:tblCellMar>
        </w:tblPrEx>
        <w:trPr>
          <w:trHeight w:val="425"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30110</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职工基本医疗保险缴费</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293.11</w:t>
            </w: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30208</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取暖费</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38.88</w:t>
            </w: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31006</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大型修缮</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20"/>
                <w:szCs w:val="20"/>
              </w:rPr>
            </w:pPr>
          </w:p>
        </w:tc>
      </w:tr>
      <w:tr>
        <w:tblPrEx>
          <w:tblCellMar>
            <w:top w:w="15" w:type="dxa"/>
            <w:left w:w="15" w:type="dxa"/>
            <w:bottom w:w="0" w:type="dxa"/>
            <w:right w:w="15" w:type="dxa"/>
          </w:tblCellMar>
        </w:tblPrEx>
        <w:trPr>
          <w:trHeight w:val="425"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30111</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公务员医疗补助缴费</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75.73</w:t>
            </w: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30209</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物业管理费</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41.19</w:t>
            </w: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31007</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信息网络及软件购置更新</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20"/>
                <w:szCs w:val="20"/>
              </w:rPr>
            </w:pPr>
            <w:r>
              <w:rPr>
                <w:rFonts w:ascii="宋体" w:hAnsi="宋体" w:cs="宋体"/>
                <w:color w:val="000000"/>
                <w:sz w:val="20"/>
                <w:szCs w:val="20"/>
              </w:rPr>
              <w:t>1.36</w:t>
            </w:r>
          </w:p>
        </w:tc>
      </w:tr>
      <w:tr>
        <w:tblPrEx>
          <w:tblCellMar>
            <w:top w:w="15" w:type="dxa"/>
            <w:left w:w="15" w:type="dxa"/>
            <w:bottom w:w="0" w:type="dxa"/>
            <w:right w:w="15" w:type="dxa"/>
          </w:tblCellMar>
        </w:tblPrEx>
        <w:trPr>
          <w:trHeight w:val="238"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30112</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其他社会保障缴费</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13.76</w:t>
            </w: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30211</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差旅费</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38.83</w:t>
            </w: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31008</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物资储备</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20"/>
                <w:szCs w:val="20"/>
              </w:rPr>
            </w:pPr>
          </w:p>
        </w:tc>
      </w:tr>
      <w:tr>
        <w:tblPrEx>
          <w:tblCellMar>
            <w:top w:w="15" w:type="dxa"/>
            <w:left w:w="15" w:type="dxa"/>
            <w:bottom w:w="0" w:type="dxa"/>
            <w:right w:w="15" w:type="dxa"/>
          </w:tblCellMar>
        </w:tblPrEx>
        <w:trPr>
          <w:trHeight w:val="238"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30113</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住房公积金</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211.05</w:t>
            </w: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30212</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因公出国（境）费用</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31009</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土地补偿</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20"/>
                <w:szCs w:val="20"/>
              </w:rPr>
            </w:pPr>
          </w:p>
        </w:tc>
      </w:tr>
      <w:tr>
        <w:tblPrEx>
          <w:tblCellMar>
            <w:top w:w="15" w:type="dxa"/>
            <w:left w:w="15" w:type="dxa"/>
            <w:bottom w:w="0" w:type="dxa"/>
            <w:right w:w="15" w:type="dxa"/>
          </w:tblCellMar>
        </w:tblPrEx>
        <w:trPr>
          <w:trHeight w:val="238"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30114</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医疗费</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30213</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维修（护）费</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53.30</w:t>
            </w: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31010</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安置补助</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20"/>
                <w:szCs w:val="20"/>
              </w:rPr>
            </w:pPr>
          </w:p>
        </w:tc>
      </w:tr>
      <w:tr>
        <w:tblPrEx>
          <w:tblCellMar>
            <w:top w:w="15" w:type="dxa"/>
            <w:left w:w="15" w:type="dxa"/>
            <w:bottom w:w="0" w:type="dxa"/>
            <w:right w:w="15" w:type="dxa"/>
          </w:tblCellMar>
        </w:tblPrEx>
        <w:trPr>
          <w:trHeight w:val="425"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30199</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其他工资福利支出</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32.40</w:t>
            </w: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30214</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租赁费</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11.83</w:t>
            </w: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31011</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地上附着物和青苗补偿</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20"/>
                <w:szCs w:val="20"/>
              </w:rPr>
            </w:pPr>
          </w:p>
        </w:tc>
      </w:tr>
      <w:tr>
        <w:tblPrEx>
          <w:tblCellMar>
            <w:top w:w="15" w:type="dxa"/>
            <w:left w:w="15" w:type="dxa"/>
            <w:bottom w:w="0" w:type="dxa"/>
            <w:right w:w="15" w:type="dxa"/>
          </w:tblCellMar>
        </w:tblPrEx>
        <w:trPr>
          <w:trHeight w:val="238"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303</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对个人和家庭的补助</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634.68</w:t>
            </w: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30215</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会议费</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2.81</w:t>
            </w: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31012</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拆迁补偿</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20"/>
                <w:szCs w:val="20"/>
              </w:rPr>
            </w:pPr>
          </w:p>
        </w:tc>
      </w:tr>
      <w:tr>
        <w:tblPrEx>
          <w:tblCellMar>
            <w:top w:w="15" w:type="dxa"/>
            <w:left w:w="15" w:type="dxa"/>
            <w:bottom w:w="0" w:type="dxa"/>
            <w:right w:w="15" w:type="dxa"/>
          </w:tblCellMar>
        </w:tblPrEx>
        <w:trPr>
          <w:trHeight w:val="238"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30301</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离休费</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14.18</w:t>
            </w: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30216</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培训费</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9.33</w:t>
            </w: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31013</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公务用车购置</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20"/>
                <w:szCs w:val="20"/>
              </w:rPr>
            </w:pPr>
          </w:p>
        </w:tc>
      </w:tr>
      <w:tr>
        <w:tblPrEx>
          <w:tblCellMar>
            <w:top w:w="15" w:type="dxa"/>
            <w:left w:w="15" w:type="dxa"/>
            <w:bottom w:w="0" w:type="dxa"/>
            <w:right w:w="15" w:type="dxa"/>
          </w:tblCellMar>
        </w:tblPrEx>
        <w:trPr>
          <w:trHeight w:val="238"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30302</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退休费</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189.37</w:t>
            </w: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30217</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公务接待费</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1.82</w:t>
            </w: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31019</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其他交通工具购置</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20"/>
                <w:szCs w:val="20"/>
              </w:rPr>
            </w:pPr>
          </w:p>
        </w:tc>
      </w:tr>
      <w:tr>
        <w:tblPrEx>
          <w:tblCellMar>
            <w:top w:w="15" w:type="dxa"/>
            <w:left w:w="15" w:type="dxa"/>
            <w:bottom w:w="0" w:type="dxa"/>
            <w:right w:w="15" w:type="dxa"/>
          </w:tblCellMar>
        </w:tblPrEx>
        <w:trPr>
          <w:trHeight w:val="238"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30303</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退职（役）费</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30218</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专用材料费</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31021</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文物和陈列品购置</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20"/>
                <w:szCs w:val="20"/>
              </w:rPr>
            </w:pPr>
          </w:p>
        </w:tc>
      </w:tr>
      <w:tr>
        <w:tblPrEx>
          <w:tblCellMar>
            <w:top w:w="15" w:type="dxa"/>
            <w:left w:w="15" w:type="dxa"/>
            <w:bottom w:w="0" w:type="dxa"/>
            <w:right w:w="15" w:type="dxa"/>
          </w:tblCellMar>
        </w:tblPrEx>
        <w:trPr>
          <w:trHeight w:val="238"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30304</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抚恤金</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2.57</w:t>
            </w: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30224</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被装购置费</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31022</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无形资产购置</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20"/>
                <w:szCs w:val="20"/>
              </w:rPr>
            </w:pPr>
          </w:p>
        </w:tc>
      </w:tr>
      <w:tr>
        <w:tblPrEx>
          <w:tblCellMar>
            <w:top w:w="15" w:type="dxa"/>
            <w:left w:w="15" w:type="dxa"/>
            <w:bottom w:w="0" w:type="dxa"/>
            <w:right w:w="15" w:type="dxa"/>
          </w:tblCellMar>
        </w:tblPrEx>
        <w:trPr>
          <w:trHeight w:val="238"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30305</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生活补助</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2.28</w:t>
            </w: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30225</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专用燃料费</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31099</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其他资本性支出</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20"/>
                <w:szCs w:val="20"/>
              </w:rPr>
            </w:pPr>
          </w:p>
        </w:tc>
      </w:tr>
      <w:tr>
        <w:tblPrEx>
          <w:tblCellMar>
            <w:top w:w="15" w:type="dxa"/>
            <w:left w:w="15" w:type="dxa"/>
            <w:bottom w:w="0" w:type="dxa"/>
            <w:right w:w="15" w:type="dxa"/>
          </w:tblCellMar>
        </w:tblPrEx>
        <w:trPr>
          <w:trHeight w:val="238"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30306</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救济费</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30226</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劳务费</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4.00</w:t>
            </w: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399</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其他支出</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20"/>
                <w:szCs w:val="20"/>
              </w:rPr>
            </w:pPr>
          </w:p>
        </w:tc>
      </w:tr>
      <w:tr>
        <w:tblPrEx>
          <w:tblCellMar>
            <w:top w:w="15" w:type="dxa"/>
            <w:left w:w="15" w:type="dxa"/>
            <w:bottom w:w="0" w:type="dxa"/>
            <w:right w:w="15" w:type="dxa"/>
          </w:tblCellMar>
        </w:tblPrEx>
        <w:trPr>
          <w:trHeight w:val="238"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30307</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医疗费补助</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30227</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委托业务费</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206.01</w:t>
            </w: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39906</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赠与</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20"/>
                <w:szCs w:val="20"/>
              </w:rPr>
            </w:pPr>
          </w:p>
        </w:tc>
      </w:tr>
      <w:tr>
        <w:tblPrEx>
          <w:tblCellMar>
            <w:top w:w="15" w:type="dxa"/>
            <w:left w:w="15" w:type="dxa"/>
            <w:bottom w:w="0" w:type="dxa"/>
            <w:right w:w="15" w:type="dxa"/>
          </w:tblCellMar>
        </w:tblPrEx>
        <w:trPr>
          <w:trHeight w:val="238"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30308</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助学金</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30228</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工会经费</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30.41</w:t>
            </w: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39907</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国家赔偿费用支出</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20"/>
                <w:szCs w:val="20"/>
              </w:rPr>
            </w:pPr>
          </w:p>
        </w:tc>
      </w:tr>
      <w:tr>
        <w:tblPrEx>
          <w:tblCellMar>
            <w:top w:w="15" w:type="dxa"/>
            <w:left w:w="15" w:type="dxa"/>
            <w:bottom w:w="0" w:type="dxa"/>
            <w:right w:w="15" w:type="dxa"/>
          </w:tblCellMar>
        </w:tblPrEx>
        <w:trPr>
          <w:trHeight w:val="420"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30309</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奖励金</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85.56</w:t>
            </w: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30229</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福利费</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19.07</w:t>
            </w: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39908</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对民间非营利组织和群众性自治组织补贴</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20"/>
                <w:szCs w:val="20"/>
              </w:rPr>
            </w:pPr>
          </w:p>
        </w:tc>
      </w:tr>
      <w:tr>
        <w:tblPrEx>
          <w:tblCellMar>
            <w:top w:w="15" w:type="dxa"/>
            <w:left w:w="15" w:type="dxa"/>
            <w:bottom w:w="0" w:type="dxa"/>
            <w:right w:w="15" w:type="dxa"/>
          </w:tblCellMar>
        </w:tblPrEx>
        <w:trPr>
          <w:trHeight w:val="425"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30310</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个人农业生产补贴</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30231</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公务用车运行维护费</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79.16</w:t>
            </w: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39999</w:t>
            </w: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其他支出</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20"/>
                <w:szCs w:val="20"/>
              </w:rPr>
            </w:pPr>
          </w:p>
        </w:tc>
      </w:tr>
      <w:tr>
        <w:tblPrEx>
          <w:tblCellMar>
            <w:top w:w="15" w:type="dxa"/>
            <w:left w:w="15" w:type="dxa"/>
            <w:bottom w:w="0" w:type="dxa"/>
            <w:right w:w="15" w:type="dxa"/>
          </w:tblCellMar>
        </w:tblPrEx>
        <w:trPr>
          <w:trHeight w:val="425"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30399</w:t>
            </w: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其他对个人和家庭的补助支出</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340.73</w:t>
            </w: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30239</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其他交通费用</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113.50</w:t>
            </w: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rPr>
                <w:rFonts w:ascii="宋体" w:hAnsi="宋体" w:cs="宋体"/>
                <w:color w:val="000000"/>
                <w:sz w:val="16"/>
                <w:szCs w:val="16"/>
              </w:rPr>
            </w:pP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rPr>
                <w:rFonts w:ascii="宋体" w:hAnsi="宋体" w:cs="宋体"/>
                <w:color w:val="000000"/>
                <w:sz w:val="16"/>
                <w:szCs w:val="16"/>
              </w:rPr>
            </w:pP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20"/>
                <w:szCs w:val="20"/>
              </w:rPr>
            </w:pPr>
          </w:p>
        </w:tc>
      </w:tr>
      <w:tr>
        <w:tblPrEx>
          <w:tblCellMar>
            <w:top w:w="15" w:type="dxa"/>
            <w:left w:w="15" w:type="dxa"/>
            <w:bottom w:w="0" w:type="dxa"/>
            <w:right w:w="15" w:type="dxa"/>
          </w:tblCellMar>
        </w:tblPrEx>
        <w:trPr>
          <w:trHeight w:val="238"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rPr>
                <w:rFonts w:ascii="宋体" w:hAnsi="宋体" w:cs="宋体"/>
                <w:color w:val="000000"/>
                <w:sz w:val="16"/>
                <w:szCs w:val="16"/>
              </w:rPr>
            </w:pP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rPr>
                <w:rFonts w:ascii="宋体" w:hAnsi="宋体" w:cs="宋体"/>
                <w:color w:val="000000"/>
                <w:sz w:val="16"/>
                <w:szCs w:val="16"/>
              </w:rPr>
            </w:pP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30240</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税金及附加费用</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rPr>
                <w:rFonts w:ascii="宋体" w:hAnsi="宋体" w:cs="宋体"/>
                <w:color w:val="000000"/>
                <w:sz w:val="16"/>
                <w:szCs w:val="16"/>
              </w:rPr>
            </w:pP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rPr>
                <w:rFonts w:ascii="宋体" w:hAnsi="宋体" w:cs="宋体"/>
                <w:color w:val="000000"/>
                <w:sz w:val="16"/>
                <w:szCs w:val="16"/>
              </w:rPr>
            </w:pP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20"/>
                <w:szCs w:val="20"/>
              </w:rPr>
            </w:pPr>
          </w:p>
        </w:tc>
      </w:tr>
      <w:tr>
        <w:tblPrEx>
          <w:tblCellMar>
            <w:top w:w="15" w:type="dxa"/>
            <w:left w:w="15" w:type="dxa"/>
            <w:bottom w:w="0" w:type="dxa"/>
            <w:right w:w="15" w:type="dxa"/>
          </w:tblCellMar>
        </w:tblPrEx>
        <w:trPr>
          <w:trHeight w:val="425" w:hRule="atLeast"/>
          <w:jc w:val="center"/>
        </w:trPr>
        <w:tc>
          <w:tcPr>
            <w:tcW w:w="673"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rPr>
                <w:rFonts w:ascii="宋体" w:hAnsi="宋体" w:cs="宋体"/>
                <w:color w:val="000000"/>
                <w:sz w:val="16"/>
                <w:szCs w:val="16"/>
              </w:rPr>
            </w:pPr>
          </w:p>
        </w:tc>
        <w:tc>
          <w:tcPr>
            <w:tcW w:w="1598"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rPr>
                <w:rFonts w:ascii="宋体" w:hAnsi="宋体" w:cs="宋体"/>
                <w:color w:val="000000"/>
                <w:sz w:val="16"/>
                <w:szCs w:val="16"/>
              </w:rPr>
            </w:pP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p>
        </w:tc>
        <w:tc>
          <w:tcPr>
            <w:tcW w:w="47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30299</w:t>
            </w:r>
          </w:p>
        </w:tc>
        <w:tc>
          <w:tcPr>
            <w:tcW w:w="1762"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16"/>
                <w:szCs w:val="16"/>
              </w:rPr>
            </w:pPr>
            <w:r>
              <w:rPr>
                <w:rFonts w:ascii="宋体" w:hAnsi="宋体" w:cs="宋体"/>
                <w:color w:val="000000"/>
                <w:kern w:val="0"/>
                <w:sz w:val="16"/>
                <w:szCs w:val="16"/>
              </w:rPr>
              <w:t xml:space="preserve">  其他商品和服务支出</w:t>
            </w:r>
          </w:p>
        </w:tc>
        <w:tc>
          <w:tcPr>
            <w:tcW w:w="7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281.43</w:t>
            </w:r>
          </w:p>
        </w:tc>
        <w:tc>
          <w:tcPr>
            <w:tcW w:w="561"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rPr>
                <w:rFonts w:ascii="宋体" w:hAnsi="宋体" w:cs="宋体"/>
                <w:color w:val="000000"/>
                <w:sz w:val="16"/>
                <w:szCs w:val="16"/>
              </w:rPr>
            </w:pPr>
          </w:p>
        </w:tc>
        <w:tc>
          <w:tcPr>
            <w:tcW w:w="178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left"/>
              <w:rPr>
                <w:rFonts w:ascii="宋体" w:hAnsi="宋体" w:cs="宋体"/>
                <w:color w:val="000000"/>
                <w:sz w:val="16"/>
                <w:szCs w:val="16"/>
              </w:rPr>
            </w:pP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20"/>
                <w:szCs w:val="20"/>
              </w:rPr>
            </w:pPr>
          </w:p>
        </w:tc>
      </w:tr>
      <w:tr>
        <w:tblPrEx>
          <w:tblCellMar>
            <w:top w:w="15" w:type="dxa"/>
            <w:left w:w="15" w:type="dxa"/>
            <w:bottom w:w="0" w:type="dxa"/>
            <w:right w:w="15" w:type="dxa"/>
          </w:tblCellMar>
        </w:tblPrEx>
        <w:trPr>
          <w:trHeight w:val="317" w:hRule="atLeast"/>
          <w:jc w:val="center"/>
        </w:trPr>
        <w:tc>
          <w:tcPr>
            <w:tcW w:w="2271" w:type="dxa"/>
            <w:gridSpan w:val="2"/>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 w:val="16"/>
                <w:szCs w:val="16"/>
              </w:rPr>
            </w:pPr>
            <w:r>
              <w:rPr>
                <w:rFonts w:ascii="宋体" w:hAnsi="宋体" w:cs="宋体"/>
                <w:color w:val="000000"/>
                <w:kern w:val="0"/>
                <w:sz w:val="16"/>
                <w:szCs w:val="16"/>
              </w:rPr>
              <w:t>人员经费合计</w:t>
            </w:r>
          </w:p>
        </w:tc>
        <w:tc>
          <w:tcPr>
            <w:tcW w:w="840"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4324.97</w:t>
            </w:r>
          </w:p>
        </w:tc>
        <w:tc>
          <w:tcPr>
            <w:tcW w:w="5327" w:type="dxa"/>
            <w:gridSpan w:val="5"/>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 w:val="16"/>
                <w:szCs w:val="16"/>
              </w:rPr>
            </w:pPr>
            <w:r>
              <w:rPr>
                <w:rFonts w:ascii="宋体" w:hAnsi="宋体" w:cs="宋体"/>
                <w:color w:val="000000"/>
                <w:kern w:val="0"/>
                <w:sz w:val="16"/>
                <w:szCs w:val="16"/>
              </w:rPr>
              <w:t>公用经费合计</w:t>
            </w:r>
          </w:p>
        </w:tc>
        <w:tc>
          <w:tcPr>
            <w:tcW w:w="857"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 w:val="16"/>
                <w:szCs w:val="16"/>
              </w:rPr>
            </w:pPr>
            <w:r>
              <w:rPr>
                <w:rFonts w:ascii="宋体" w:hAnsi="宋体" w:cs="宋体"/>
                <w:color w:val="000000"/>
                <w:sz w:val="16"/>
                <w:szCs w:val="16"/>
              </w:rPr>
              <w:t>1220.91</w:t>
            </w:r>
          </w:p>
        </w:tc>
      </w:tr>
      <w:tr>
        <w:tblPrEx>
          <w:tblCellMar>
            <w:top w:w="15" w:type="dxa"/>
            <w:left w:w="15" w:type="dxa"/>
            <w:bottom w:w="0" w:type="dxa"/>
            <w:right w:w="15" w:type="dxa"/>
          </w:tblCellMar>
        </w:tblPrEx>
        <w:trPr>
          <w:trHeight w:val="277" w:hRule="atLeast"/>
          <w:jc w:val="center"/>
        </w:trPr>
        <w:tc>
          <w:tcPr>
            <w:tcW w:w="9295" w:type="dxa"/>
            <w:gridSpan w:val="9"/>
            <w:vAlign w:val="center"/>
          </w:tcPr>
          <w:p>
            <w:pPr>
              <w:pStyle w:val="4"/>
              <w:widowControl w:val="0"/>
              <w:bidi w:val="0"/>
              <w:spacing w:beforeLines="0" w:beforeAutospacing="0" w:after="0" w:afterAutospacing="0" w:line="240" w:lineRule="auto"/>
              <w:jc w:val="left"/>
              <w:textAlignment w:val="center"/>
              <w:rPr>
                <w:rFonts w:ascii="宋体" w:hAnsi="宋体" w:eastAsia="宋体" w:cs="宋体"/>
                <w:color w:val="000000"/>
                <w:sz w:val="16"/>
                <w:szCs w:val="16"/>
              </w:rPr>
            </w:pPr>
            <w:r>
              <w:rPr>
                <w:rFonts w:ascii="宋体" w:hAnsi="宋体" w:cs="宋体"/>
                <w:color w:val="000000"/>
                <w:kern w:val="0"/>
                <w:sz w:val="16"/>
                <w:szCs w:val="16"/>
              </w:rPr>
              <w:t xml:space="preserve">注：本表反映部门本年度一般公共预算财政拨款基本支出明细情况。 </w:t>
            </w:r>
          </w:p>
        </w:tc>
      </w:tr>
    </w:tbl>
    <w:p>
      <w:pPr>
        <w:pStyle w:val="4"/>
        <w:widowControl/>
        <w:bidi w:val="0"/>
        <w:spacing w:beforeLines="0" w:beforeAutospacing="0" w:after="0" w:afterAutospacing="0" w:line="560" w:lineRule="exact"/>
        <w:jc w:val="left"/>
        <w:sectPr>
          <w:pgSz w:w="11906" w:h="16838"/>
          <w:pgMar w:top="2098" w:right="1474" w:bottom="1984" w:left="1588" w:header="0" w:footer="0" w:gutter="0"/>
          <w:pgNumType w:fmt="decimal"/>
          <w:cols w:space="720" w:num="1"/>
          <w:formProt w:val="0"/>
          <w:docGrid w:type="lines" w:linePitch="312" w:charSpace="43007"/>
        </w:sectPr>
      </w:pPr>
    </w:p>
    <w:tbl>
      <w:tblPr>
        <w:tblStyle w:val="2"/>
        <w:tblW w:w="8800" w:type="dxa"/>
        <w:jc w:val="center"/>
        <w:tblLayout w:type="fixed"/>
        <w:tblCellMar>
          <w:top w:w="15" w:type="dxa"/>
          <w:left w:w="15" w:type="dxa"/>
          <w:bottom w:w="0" w:type="dxa"/>
          <w:right w:w="15" w:type="dxa"/>
        </w:tblCellMar>
      </w:tblPr>
      <w:tblGrid>
        <w:gridCol w:w="1158"/>
        <w:gridCol w:w="1526"/>
        <w:gridCol w:w="1529"/>
        <w:gridCol w:w="1529"/>
        <w:gridCol w:w="1531"/>
        <w:gridCol w:w="1526"/>
      </w:tblGrid>
      <w:tr>
        <w:tblPrEx>
          <w:tblCellMar>
            <w:top w:w="15" w:type="dxa"/>
            <w:left w:w="15" w:type="dxa"/>
            <w:bottom w:w="0" w:type="dxa"/>
            <w:right w:w="15" w:type="dxa"/>
          </w:tblCellMar>
        </w:tblPrEx>
        <w:trPr>
          <w:trHeight w:val="584" w:hRule="atLeast"/>
          <w:jc w:val="center"/>
        </w:trPr>
        <w:tc>
          <w:tcPr>
            <w:tcW w:w="8799" w:type="dxa"/>
            <w:gridSpan w:val="6"/>
            <w:vAlign w:val="center"/>
          </w:tcPr>
          <w:p>
            <w:pPr>
              <w:pStyle w:val="4"/>
              <w:widowControl w:val="0"/>
              <w:bidi w:val="0"/>
              <w:snapToGrid w:val="0"/>
              <w:spacing w:beforeLines="0" w:beforeAutospacing="0" w:after="0" w:afterAutospacing="0" w:line="240" w:lineRule="auto"/>
              <w:jc w:val="center"/>
              <w:textAlignment w:val="center"/>
              <w:rPr>
                <w:rFonts w:ascii="黑体" w:hAnsi="黑体" w:eastAsia="黑体" w:cs="黑体"/>
                <w:color w:val="000000"/>
                <w:sz w:val="40"/>
                <w:szCs w:val="40"/>
              </w:rPr>
            </w:pPr>
            <w:r>
              <w:rPr>
                <w:rFonts w:ascii="黑体" w:hAnsi="黑体" w:eastAsia="黑体" w:cs="黑体"/>
                <w:color w:val="000000"/>
                <w:kern w:val="0"/>
                <w:sz w:val="40"/>
                <w:szCs w:val="40"/>
              </w:rPr>
              <w:t>一般公共预算财政拨款“</w:t>
            </w:r>
            <w:r>
              <mc:AlternateContent>
                <mc:Choice Requires="wpg">
                  <w:drawing>
                    <wp:anchor distT="0" distB="0" distL="114300" distR="114300" simplePos="0" relativeHeight="1024" behindDoc="1" locked="0" layoutInCell="1" allowOverlap="1">
                      <wp:simplePos x="0" y="0"/>
                      <wp:positionH relativeFrom="column">
                        <wp:posOffset>-1049020</wp:posOffset>
                      </wp:positionH>
                      <wp:positionV relativeFrom="page">
                        <wp:posOffset>-1027430</wp:posOffset>
                      </wp:positionV>
                      <wp:extent cx="3089275" cy="525780"/>
                      <wp:effectExtent l="0" t="0" r="0" b="0"/>
                      <wp:wrapNone/>
                      <wp:docPr id="35" name="组合 1059"/>
                      <wp:cNvGraphicFramePr/>
                      <a:graphic xmlns:a="http://schemas.openxmlformats.org/drawingml/2006/main">
                        <a:graphicData uri="http://schemas.microsoft.com/office/word/2010/wordprocessingGroup">
                          <wpg:wgp>
                            <wpg:cNvGrpSpPr/>
                            <wpg:grpSpPr>
                              <a:xfrm>
                                <a:off x="0" y="0"/>
                                <a:ext cx="3088800" cy="525240"/>
                                <a:chOff x="0" y="0"/>
                                <a:chExt cx="3088800" cy="525240"/>
                              </a:xfrm>
                            </wpg:grpSpPr>
                            <wps:wsp>
                              <wps:cNvPr id="36" name="矩形 36"/>
                              <wps:cNvSpPr/>
                              <wps:spPr>
                                <a:xfrm>
                                  <a:off x="0" y="0"/>
                                  <a:ext cx="3088800" cy="440640"/>
                                </a:xfrm>
                                <a:prstGeom prst="rect">
                                  <a:avLst/>
                                </a:prstGeom>
                                <a:solidFill>
                                  <a:srgbClr val="D8D8D8"/>
                                </a:solidFill>
                                <a:ln w="0">
                                  <a:noFill/>
                                </a:ln>
                              </wps:spPr>
                              <wps:bodyPr/>
                            </wps:wsp>
                            <wps:wsp>
                              <wps:cNvPr id="37" name="文本框 37"/>
                              <wps:cNvSpPr txBox="true"/>
                              <wps:spPr>
                                <a:xfrm>
                                  <a:off x="10080" y="103680"/>
                                  <a:ext cx="3008520" cy="421560"/>
                                </a:xfrm>
                                <a:prstGeom prst="rect">
                                  <a:avLst/>
                                </a:prstGeom>
                                <a:solidFill>
                                  <a:srgbClr val="AD002D"/>
                                </a:solidFill>
                                <a:ln w="25560">
                                  <a:solidFill>
                                    <a:srgbClr val="AF7621"/>
                                  </a:solidFill>
                                  <a:round/>
                                </a:ln>
                              </wps:spPr>
                              <wps:txb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2018年度部门决算☞决算报表</w:t>
                                    </w:r>
                                  </w:p>
                                  <w:p>
                                    <w:pPr>
                                      <w:overflowPunct w:val="0"/>
                                      <w:bidi w:val="0"/>
                                      <w:spacing w:beforeLines="0" w:beforeAutospacing="0" w:afterLines="0" w:afterAutospacing="0" w:line="240" w:lineRule="auto"/>
                                      <w:jc w:val="center"/>
                                    </w:pPr>
                                  </w:p>
                                </w:txbxContent>
                              </wps:txbx>
                              <wps:bodyPr wrap="square">
                                <a:noAutofit/>
                              </wps:bodyPr>
                            </wps:wsp>
                          </wpg:wgp>
                        </a:graphicData>
                      </a:graphic>
                    </wp:anchor>
                  </w:drawing>
                </mc:Choice>
                <mc:Fallback>
                  <w:pict>
                    <v:group id="组合 1059" o:spid="_x0000_s1026" o:spt="203" style="position:absolute;left:0pt;margin-left:-82.6pt;margin-top:-80.9pt;height:41.4pt;width:243.25pt;mso-position-vertical-relative:page;z-index:-503315456;mso-width-relative:page;mso-height-relative:page;" coordsize="3088800,525240" o:gfxdata="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HNCOGLbAAAA&#10;DQEAAA8AAAAAAAAAAQAgAAAAOAAAAGRycy9kb3ducmV2LnhtbFBLAQIUABQAAAAIAIdO4kCGiiPn&#10;dgIAAEAGAAAOAAAAAAAAAAEAIAAAAEABAABkcnMvZTJvRG9jLnhtbFBLBQYAAAAABgAGAFkBAAAo&#10;BgAAAAA=&#10;">
                      <o:lock v:ext="edit" aspectratio="f"/>
                      <v:rect id="_x0000_s1026" o:spid="_x0000_s1026" o:spt="1" style="position:absolute;left:0;top:0;height:440640;width:3088800;" fillcolor="#D8D8D8" filled="t" stroked="f" coordsize="21600,21600" o:gfxdata="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94K170AAADbAAAADwAAAAAAAAABACAAAAA4AAAAZHJzL2Rvd25yZXYu&#10;eG1sUEsBAhQAFAAAAAgAh07iQDMvBZ47AAAAOQAAABAAAAAAAAAAAQAgAAAAIgEAAGRycy9zaGFw&#10;ZXhtbC54bWxQSwUGAAAAAAYABgBbAQAAzAMAAAAA&#10;">
                        <v:fill on="t" focussize="0,0"/>
                        <v:stroke on="f" weight="0pt"/>
                        <v:imagedata o:title=""/>
                        <o:lock v:ext="edit" aspectratio="f"/>
                      </v:rect>
                      <v:shape id="_x0000_s1026" o:spid="_x0000_s1026" o:spt="202" type="#_x0000_t202" style="position:absolute;left:10080;top:103680;height:421560;width:3008520;" fillcolor="#AD002D" filled="t" stroked="t" coordsize="21600,21600" o:gfxdata="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fo0qi+AAAA2wAAAA8AAAAAAAAAAQAgAAAAOAAAAGRycy9kb3ducmV2&#10;LnhtbFBLAQIUABQAAAAIAIdO4kAzLwWeOwAAADkAAAAQAAAAAAAAAAEAIAAAACMBAABkcnMvc2hh&#10;cGV4bWwueG1sUEsFBgAAAAAGAAYAWwEAAM0DAAAAAA==&#10;">
                        <v:fill on="t" focussize="0,0"/>
                        <v:stroke weight="2.01259842519685pt" color="#AF7621" joinstyle="round"/>
                        <v:imagedata o:title=""/>
                        <o:lock v:ext="edit" aspectratio="f"/>
                        <v:textbo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2018年度部门决算☞决算报表</w:t>
                              </w:r>
                            </w:p>
                            <w:p>
                              <w:pPr>
                                <w:overflowPunct w:val="0"/>
                                <w:bidi w:val="0"/>
                                <w:spacing w:beforeLines="0" w:beforeAutospacing="0" w:afterLines="0" w:afterAutospacing="0" w:line="240" w:lineRule="auto"/>
                                <w:jc w:val="center"/>
                              </w:pPr>
                            </w:p>
                          </w:txbxContent>
                        </v:textbox>
                      </v:shape>
                    </v:group>
                  </w:pict>
                </mc:Fallback>
              </mc:AlternateContent>
            </w:r>
            <w:r>
              <w:rPr>
                <w:rFonts w:ascii="黑体" w:hAnsi="黑体" w:eastAsia="黑体" w:cs="黑体"/>
                <w:color w:val="000000"/>
                <w:kern w:val="0"/>
                <w:sz w:val="40"/>
                <w:szCs w:val="40"/>
              </w:rPr>
              <w:t>三公”经费支出决算表</w:t>
            </w:r>
          </w:p>
        </w:tc>
      </w:tr>
      <w:tr>
        <w:tblPrEx>
          <w:tblCellMar>
            <w:top w:w="15" w:type="dxa"/>
            <w:left w:w="15" w:type="dxa"/>
            <w:bottom w:w="0" w:type="dxa"/>
            <w:right w:w="15" w:type="dxa"/>
          </w:tblCellMar>
        </w:tblPrEx>
        <w:trPr>
          <w:trHeight w:val="347" w:hRule="atLeast"/>
          <w:jc w:val="center"/>
        </w:trPr>
        <w:tc>
          <w:tcPr>
            <w:tcW w:w="1158" w:type="dxa"/>
            <w:vAlign w:val="center"/>
          </w:tcPr>
          <w:p>
            <w:pPr>
              <w:pStyle w:val="4"/>
              <w:widowControl w:val="0"/>
              <w:bidi w:val="0"/>
              <w:snapToGrid w:val="0"/>
              <w:spacing w:beforeLines="0" w:beforeAutospacing="0" w:after="0" w:afterAutospacing="0" w:line="240" w:lineRule="auto"/>
              <w:rPr>
                <w:rFonts w:ascii="Arial" w:hAnsi="Arial" w:cs="Arial"/>
                <w:color w:val="000000"/>
                <w:sz w:val="20"/>
                <w:szCs w:val="20"/>
              </w:rPr>
            </w:pPr>
          </w:p>
        </w:tc>
        <w:tc>
          <w:tcPr>
            <w:tcW w:w="1526" w:type="dxa"/>
            <w:vAlign w:val="center"/>
          </w:tcPr>
          <w:p>
            <w:pPr>
              <w:pStyle w:val="4"/>
              <w:widowControl w:val="0"/>
              <w:bidi w:val="0"/>
              <w:snapToGrid w:val="0"/>
              <w:spacing w:beforeLines="0" w:beforeAutospacing="0" w:after="0" w:afterAutospacing="0" w:line="240" w:lineRule="auto"/>
              <w:rPr>
                <w:rFonts w:ascii="Arial" w:hAnsi="Arial" w:cs="Arial"/>
                <w:color w:val="000000"/>
                <w:sz w:val="20"/>
                <w:szCs w:val="20"/>
              </w:rPr>
            </w:pPr>
          </w:p>
        </w:tc>
        <w:tc>
          <w:tcPr>
            <w:tcW w:w="1529" w:type="dxa"/>
            <w:vAlign w:val="center"/>
          </w:tcPr>
          <w:p>
            <w:pPr>
              <w:pStyle w:val="4"/>
              <w:widowControl w:val="0"/>
              <w:bidi w:val="0"/>
              <w:snapToGrid w:val="0"/>
              <w:spacing w:beforeLines="0" w:beforeAutospacing="0" w:after="0" w:afterAutospacing="0" w:line="240" w:lineRule="auto"/>
              <w:rPr>
                <w:rFonts w:ascii="Arial" w:hAnsi="Arial" w:cs="Arial"/>
                <w:color w:val="000000"/>
                <w:sz w:val="20"/>
                <w:szCs w:val="20"/>
              </w:rPr>
            </w:pPr>
          </w:p>
        </w:tc>
        <w:tc>
          <w:tcPr>
            <w:tcW w:w="1529" w:type="dxa"/>
            <w:vAlign w:val="center"/>
          </w:tcPr>
          <w:p>
            <w:pPr>
              <w:pStyle w:val="4"/>
              <w:widowControl w:val="0"/>
              <w:bidi w:val="0"/>
              <w:snapToGrid w:val="0"/>
              <w:spacing w:beforeLines="0" w:beforeAutospacing="0" w:after="0" w:afterAutospacing="0" w:line="240" w:lineRule="auto"/>
              <w:rPr>
                <w:rFonts w:ascii="Arial" w:hAnsi="Arial" w:cs="Arial"/>
                <w:color w:val="000000"/>
                <w:sz w:val="20"/>
                <w:szCs w:val="20"/>
              </w:rPr>
            </w:pPr>
          </w:p>
        </w:tc>
        <w:tc>
          <w:tcPr>
            <w:tcW w:w="1531" w:type="dxa"/>
            <w:vAlign w:val="center"/>
          </w:tcPr>
          <w:p>
            <w:pPr>
              <w:pStyle w:val="4"/>
              <w:widowControl w:val="0"/>
              <w:bidi w:val="0"/>
              <w:snapToGrid w:val="0"/>
              <w:spacing w:beforeLines="0" w:beforeAutospacing="0" w:after="0" w:afterAutospacing="0" w:line="240" w:lineRule="auto"/>
              <w:rPr>
                <w:rFonts w:ascii="Arial" w:hAnsi="Arial" w:cs="Arial"/>
                <w:color w:val="000000"/>
                <w:sz w:val="20"/>
                <w:szCs w:val="20"/>
              </w:rPr>
            </w:pPr>
          </w:p>
        </w:tc>
        <w:tc>
          <w:tcPr>
            <w:tcW w:w="1526" w:type="dxa"/>
            <w:vAlign w:val="center"/>
          </w:tcPr>
          <w:p>
            <w:pPr>
              <w:pStyle w:val="4"/>
              <w:widowControl w:val="0"/>
              <w:bidi w:val="0"/>
              <w:snapToGrid w:val="0"/>
              <w:spacing w:beforeLines="0" w:beforeAutospacing="0" w:after="0" w:afterAutospacing="0" w:line="240" w:lineRule="auto"/>
              <w:jc w:val="right"/>
              <w:textAlignment w:val="center"/>
              <w:rPr>
                <w:rFonts w:ascii="宋体" w:hAnsi="宋体" w:cs="宋体"/>
                <w:color w:val="000000"/>
                <w:sz w:val="20"/>
                <w:szCs w:val="20"/>
              </w:rPr>
            </w:pPr>
            <w:r>
              <w:rPr>
                <w:rFonts w:ascii="宋体" w:hAnsi="宋体" w:cs="宋体"/>
                <w:color w:val="000000"/>
                <w:kern w:val="0"/>
                <w:sz w:val="20"/>
                <w:szCs w:val="20"/>
              </w:rPr>
              <w:t>公开07表</w:t>
            </w:r>
          </w:p>
        </w:tc>
      </w:tr>
      <w:tr>
        <w:tblPrEx>
          <w:tblCellMar>
            <w:top w:w="15" w:type="dxa"/>
            <w:left w:w="15" w:type="dxa"/>
            <w:bottom w:w="0" w:type="dxa"/>
            <w:right w:w="15" w:type="dxa"/>
          </w:tblCellMar>
        </w:tblPrEx>
        <w:trPr>
          <w:trHeight w:val="347" w:hRule="atLeast"/>
          <w:jc w:val="center"/>
        </w:trPr>
        <w:tc>
          <w:tcPr>
            <w:tcW w:w="7273" w:type="dxa"/>
            <w:gridSpan w:val="5"/>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 w:val="20"/>
                <w:szCs w:val="20"/>
              </w:rPr>
            </w:pPr>
            <w:r>
              <w:rPr>
                <w:rFonts w:ascii="宋体" w:hAnsi="宋体" w:cs="宋体"/>
                <w:color w:val="000000"/>
                <w:kern w:val="0"/>
                <w:sz w:val="20"/>
                <w:szCs w:val="20"/>
              </w:rPr>
              <w:t>部门：唐山市工商行政管理局</w:t>
            </w:r>
          </w:p>
        </w:tc>
        <w:tc>
          <w:tcPr>
            <w:tcW w:w="1526" w:type="dxa"/>
            <w:vAlign w:val="center"/>
          </w:tcPr>
          <w:p>
            <w:pPr>
              <w:pStyle w:val="4"/>
              <w:widowControl w:val="0"/>
              <w:bidi w:val="0"/>
              <w:snapToGrid w:val="0"/>
              <w:spacing w:beforeLines="0" w:beforeAutospacing="0" w:after="0" w:afterAutospacing="0" w:line="240" w:lineRule="auto"/>
              <w:jc w:val="right"/>
              <w:textAlignment w:val="center"/>
              <w:rPr>
                <w:rFonts w:ascii="宋体" w:hAnsi="宋体" w:cs="宋体"/>
                <w:color w:val="000000"/>
                <w:sz w:val="20"/>
                <w:szCs w:val="20"/>
              </w:rPr>
            </w:pPr>
            <w:r>
              <w:rPr>
                <w:rFonts w:ascii="宋体" w:hAnsi="宋体" w:cs="宋体"/>
                <w:color w:val="000000"/>
                <w:kern w:val="0"/>
                <w:sz w:val="20"/>
                <w:szCs w:val="20"/>
              </w:rPr>
              <w:t>金额单位：万元</w:t>
            </w:r>
          </w:p>
        </w:tc>
      </w:tr>
      <w:tr>
        <w:tblPrEx>
          <w:tblCellMar>
            <w:top w:w="15" w:type="dxa"/>
            <w:left w:w="15" w:type="dxa"/>
            <w:bottom w:w="0" w:type="dxa"/>
            <w:right w:w="15" w:type="dxa"/>
          </w:tblCellMar>
        </w:tblPrEx>
        <w:trPr>
          <w:trHeight w:val="482" w:hRule="atLeast"/>
          <w:jc w:val="center"/>
        </w:trPr>
        <w:tc>
          <w:tcPr>
            <w:tcW w:w="8799" w:type="dxa"/>
            <w:gridSpan w:val="6"/>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预算数</w:t>
            </w:r>
          </w:p>
        </w:tc>
      </w:tr>
      <w:tr>
        <w:tblPrEx>
          <w:tblCellMar>
            <w:top w:w="15" w:type="dxa"/>
            <w:left w:w="15" w:type="dxa"/>
            <w:bottom w:w="0" w:type="dxa"/>
            <w:right w:w="15"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合计</w:t>
            </w:r>
          </w:p>
        </w:tc>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因公出国（境）费</w:t>
            </w:r>
          </w:p>
        </w:tc>
        <w:tc>
          <w:tcPr>
            <w:tcW w:w="4589" w:type="dxa"/>
            <w:gridSpan w:val="3"/>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公务用车购置及运行费</w:t>
            </w:r>
          </w:p>
        </w:tc>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公务接待费</w:t>
            </w:r>
          </w:p>
        </w:tc>
      </w:tr>
      <w:tr>
        <w:tblPrEx>
          <w:tblCellMar>
            <w:top w:w="15" w:type="dxa"/>
            <w:left w:w="15" w:type="dxa"/>
            <w:bottom w:w="0" w:type="dxa"/>
            <w:right w:w="15" w:type="dxa"/>
          </w:tblCellMar>
        </w:tblPrEx>
        <w:trPr>
          <w:trHeight w:val="686"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rPr>
                <w:rFonts w:ascii="宋体" w:hAnsi="宋体" w:cs="宋体"/>
                <w:color w:val="000000"/>
                <w:szCs w:val="21"/>
              </w:rPr>
            </w:pP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rPr>
                <w:rFonts w:ascii="宋体" w:hAnsi="宋体" w:cs="宋体"/>
                <w:color w:val="000000"/>
                <w:szCs w:val="21"/>
              </w:rPr>
            </w:pP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小计</w:t>
            </w: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公务用车购置费</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公务用车运行费</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rPr>
                <w:rFonts w:ascii="宋体" w:hAnsi="宋体" w:cs="宋体"/>
                <w:color w:val="000000"/>
                <w:szCs w:val="21"/>
              </w:rPr>
            </w:pPr>
          </w:p>
        </w:tc>
      </w:tr>
      <w:tr>
        <w:tblPrEx>
          <w:tblCellMar>
            <w:top w:w="15" w:type="dxa"/>
            <w:left w:w="15" w:type="dxa"/>
            <w:bottom w:w="0" w:type="dxa"/>
            <w:right w:w="15"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1</w:t>
            </w:r>
          </w:p>
        </w:tc>
        <w:tc>
          <w:tcPr>
            <w:tcW w:w="1526"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2</w:t>
            </w: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3</w:t>
            </w: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4</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5</w:t>
            </w:r>
          </w:p>
        </w:tc>
        <w:tc>
          <w:tcPr>
            <w:tcW w:w="1526"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6</w:t>
            </w:r>
          </w:p>
        </w:tc>
      </w:tr>
      <w:tr>
        <w:tblPrEx>
          <w:tblCellMar>
            <w:top w:w="15" w:type="dxa"/>
            <w:left w:w="15" w:type="dxa"/>
            <w:bottom w:w="0" w:type="dxa"/>
            <w:right w:w="15"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131.03</w:t>
            </w:r>
          </w:p>
        </w:tc>
        <w:tc>
          <w:tcPr>
            <w:tcW w:w="1526"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125.50</w:t>
            </w: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125.50</w:t>
            </w:r>
          </w:p>
        </w:tc>
        <w:tc>
          <w:tcPr>
            <w:tcW w:w="1526"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5.53</w:t>
            </w:r>
          </w:p>
        </w:tc>
      </w:tr>
      <w:tr>
        <w:tblPrEx>
          <w:tblCellMar>
            <w:top w:w="15" w:type="dxa"/>
            <w:left w:w="15" w:type="dxa"/>
            <w:bottom w:w="0" w:type="dxa"/>
            <w:right w:w="15" w:type="dxa"/>
          </w:tblCellMar>
        </w:tblPrEx>
        <w:trPr>
          <w:trHeight w:val="498" w:hRule="atLeast"/>
          <w:jc w:val="center"/>
        </w:trPr>
        <w:tc>
          <w:tcPr>
            <w:tcW w:w="8799" w:type="dxa"/>
            <w:gridSpan w:val="6"/>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决算数</w:t>
            </w:r>
          </w:p>
        </w:tc>
      </w:tr>
      <w:tr>
        <w:tblPrEx>
          <w:tblCellMar>
            <w:top w:w="15" w:type="dxa"/>
            <w:left w:w="15" w:type="dxa"/>
            <w:bottom w:w="0" w:type="dxa"/>
            <w:right w:w="15"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合计</w:t>
            </w:r>
          </w:p>
        </w:tc>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因公出国（境）费</w:t>
            </w:r>
          </w:p>
        </w:tc>
        <w:tc>
          <w:tcPr>
            <w:tcW w:w="4589" w:type="dxa"/>
            <w:gridSpan w:val="3"/>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公务用车购置及运行费</w:t>
            </w:r>
          </w:p>
        </w:tc>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公务接待费</w:t>
            </w:r>
          </w:p>
        </w:tc>
      </w:tr>
      <w:tr>
        <w:tblPrEx>
          <w:tblCellMar>
            <w:top w:w="15" w:type="dxa"/>
            <w:left w:w="15" w:type="dxa"/>
            <w:bottom w:w="0" w:type="dxa"/>
            <w:right w:w="15" w:type="dxa"/>
          </w:tblCellMar>
        </w:tblPrEx>
        <w:trPr>
          <w:trHeight w:val="672"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rPr>
                <w:rFonts w:ascii="宋体" w:hAnsi="宋体" w:cs="宋体"/>
                <w:color w:val="000000"/>
                <w:szCs w:val="21"/>
              </w:rPr>
            </w:pP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rPr>
                <w:rFonts w:ascii="宋体" w:hAnsi="宋体" w:cs="宋体"/>
                <w:color w:val="000000"/>
                <w:szCs w:val="21"/>
              </w:rPr>
            </w:pP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小计</w:t>
            </w: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公务用车购置费</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公务用车运行费</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rPr>
                <w:rFonts w:ascii="宋体" w:hAnsi="宋体" w:cs="宋体"/>
                <w:color w:val="000000"/>
                <w:szCs w:val="21"/>
              </w:rPr>
            </w:pPr>
          </w:p>
        </w:tc>
      </w:tr>
      <w:tr>
        <w:tblPrEx>
          <w:tblCellMar>
            <w:top w:w="15" w:type="dxa"/>
            <w:left w:w="15" w:type="dxa"/>
            <w:bottom w:w="0" w:type="dxa"/>
            <w:right w:w="15"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7</w:t>
            </w:r>
          </w:p>
        </w:tc>
        <w:tc>
          <w:tcPr>
            <w:tcW w:w="1526"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8</w:t>
            </w: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9</w:t>
            </w: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10</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11</w:t>
            </w:r>
          </w:p>
        </w:tc>
        <w:tc>
          <w:tcPr>
            <w:tcW w:w="1526"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12</w:t>
            </w:r>
          </w:p>
        </w:tc>
      </w:tr>
      <w:tr>
        <w:tblPrEx>
          <w:tblCellMar>
            <w:top w:w="15" w:type="dxa"/>
            <w:left w:w="15" w:type="dxa"/>
            <w:bottom w:w="0" w:type="dxa"/>
            <w:right w:w="15"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80.98</w:t>
            </w:r>
          </w:p>
        </w:tc>
        <w:tc>
          <w:tcPr>
            <w:tcW w:w="1526"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79.16</w:t>
            </w: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79.16</w:t>
            </w:r>
          </w:p>
        </w:tc>
        <w:tc>
          <w:tcPr>
            <w:tcW w:w="1526" w:type="dxa"/>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1.82</w:t>
            </w:r>
          </w:p>
        </w:tc>
      </w:tr>
      <w:tr>
        <w:tblPrEx>
          <w:tblCellMar>
            <w:top w:w="15" w:type="dxa"/>
            <w:left w:w="15" w:type="dxa"/>
            <w:bottom w:w="0" w:type="dxa"/>
            <w:right w:w="15" w:type="dxa"/>
          </w:tblCellMar>
        </w:tblPrEx>
        <w:trPr>
          <w:trHeight w:val="782" w:hRule="atLeast"/>
          <w:jc w:val="center"/>
        </w:trPr>
        <w:tc>
          <w:tcPr>
            <w:tcW w:w="8799" w:type="dxa"/>
            <w:gridSpan w:val="6"/>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Cs w:val="21"/>
              </w:rPr>
            </w:pPr>
            <w:r>
              <w:rPr>
                <w:rFonts w:ascii="宋体" w:hAnsi="宋体" w:cs="宋体"/>
                <w:color w:val="000000"/>
                <w:kern w:val="0"/>
                <w:szCs w:val="21"/>
              </w:rPr>
              <w:t xml:space="preserve">注：本表反映部门本年度“三公”经费支出预决算情况。其中：预算数为“三公”经费年初预算数，决算数是包括当年一般公共预算财政拨款和以前年度结转资金安排的实际支出。           </w:t>
            </w:r>
          </w:p>
        </w:tc>
      </w:tr>
    </w:tbl>
    <w:p>
      <w:pPr>
        <w:pStyle w:val="4"/>
        <w:widowControl/>
        <w:bidi w:val="0"/>
        <w:spacing w:beforeLines="0" w:beforeAutospacing="0" w:after="0" w:afterAutospacing="0" w:line="560" w:lineRule="exact"/>
        <w:jc w:val="left"/>
        <w:sectPr>
          <w:pgSz w:w="11906" w:h="16838"/>
          <w:pgMar w:top="2098" w:right="1474" w:bottom="1984" w:left="1588" w:header="0" w:footer="0" w:gutter="0"/>
          <w:pgNumType w:fmt="decimal"/>
          <w:cols w:space="720" w:num="1"/>
          <w:formProt w:val="0"/>
          <w:docGrid w:type="lines" w:linePitch="312" w:charSpace="43007"/>
        </w:sectPr>
      </w:pPr>
    </w:p>
    <w:tbl>
      <w:tblPr>
        <w:tblStyle w:val="2"/>
        <w:tblW w:w="8860" w:type="dxa"/>
        <w:tblInd w:w="15" w:type="dxa"/>
        <w:tblLayout w:type="fixed"/>
        <w:tblCellMar>
          <w:top w:w="15" w:type="dxa"/>
          <w:left w:w="15" w:type="dxa"/>
          <w:bottom w:w="0" w:type="dxa"/>
          <w:right w:w="15" w:type="dxa"/>
        </w:tblCellMar>
      </w:tblPr>
      <w:tblGrid>
        <w:gridCol w:w="295"/>
        <w:gridCol w:w="192"/>
        <w:gridCol w:w="478"/>
        <w:gridCol w:w="669"/>
        <w:gridCol w:w="377"/>
        <w:gridCol w:w="1166"/>
        <w:gridCol w:w="840"/>
        <w:gridCol w:w="1190"/>
        <w:gridCol w:w="1192"/>
        <w:gridCol w:w="1193"/>
        <w:gridCol w:w="1267"/>
      </w:tblGrid>
      <w:tr>
        <w:tblPrEx>
          <w:tblCellMar>
            <w:top w:w="15" w:type="dxa"/>
            <w:left w:w="15" w:type="dxa"/>
            <w:bottom w:w="0" w:type="dxa"/>
            <w:right w:w="15" w:type="dxa"/>
          </w:tblCellMar>
        </w:tblPrEx>
        <w:trPr>
          <w:trHeight w:val="707" w:hRule="atLeast"/>
        </w:trPr>
        <w:tc>
          <w:tcPr>
            <w:tcW w:w="8859" w:type="dxa"/>
            <w:gridSpan w:val="11"/>
            <w:vAlign w:val="center"/>
          </w:tcPr>
          <w:p>
            <w:pPr>
              <w:pStyle w:val="4"/>
              <w:widowControl w:val="0"/>
              <w:bidi w:val="0"/>
              <w:spacing w:beforeLines="0" w:beforeAutospacing="0" w:after="0" w:afterAutospacing="0" w:line="240" w:lineRule="auto"/>
              <w:jc w:val="center"/>
              <w:textAlignment w:val="center"/>
              <w:rPr>
                <w:rFonts w:ascii="黑体" w:hAnsi="黑体" w:eastAsia="黑体" w:cs="黑体"/>
                <w:color w:val="000000"/>
                <w:sz w:val="36"/>
                <w:szCs w:val="36"/>
              </w:rPr>
            </w:pPr>
            <w:r>
              <w:rPr>
                <w:rFonts w:ascii="黑体" w:hAnsi="黑体" w:eastAsia="黑体" w:cs="黑体"/>
                <w:color w:val="000000"/>
                <w:kern w:val="0"/>
                <w:sz w:val="36"/>
                <w:szCs w:val="36"/>
              </w:rPr>
              <w:t>政府性基金预算财政拨款</w:t>
            </w:r>
            <w:r>
              <mc:AlternateContent>
                <mc:Choice Requires="wpg">
                  <w:drawing>
                    <wp:anchor distT="0" distB="0" distL="114300" distR="114300" simplePos="0" relativeHeight="1024" behindDoc="1" locked="0" layoutInCell="1" allowOverlap="1">
                      <wp:simplePos x="0" y="0"/>
                      <wp:positionH relativeFrom="column">
                        <wp:posOffset>-1024890</wp:posOffset>
                      </wp:positionH>
                      <wp:positionV relativeFrom="page">
                        <wp:posOffset>-1027430</wp:posOffset>
                      </wp:positionV>
                      <wp:extent cx="3089275" cy="525780"/>
                      <wp:effectExtent l="0" t="0" r="0" b="0"/>
                      <wp:wrapNone/>
                      <wp:docPr id="38" name="组合 1062"/>
                      <wp:cNvGraphicFramePr/>
                      <a:graphic xmlns:a="http://schemas.openxmlformats.org/drawingml/2006/main">
                        <a:graphicData uri="http://schemas.microsoft.com/office/word/2010/wordprocessingGroup">
                          <wpg:wgp>
                            <wpg:cNvGrpSpPr/>
                            <wpg:grpSpPr>
                              <a:xfrm>
                                <a:off x="0" y="0"/>
                                <a:ext cx="3088800" cy="525240"/>
                                <a:chOff x="0" y="0"/>
                                <a:chExt cx="3088800" cy="525240"/>
                              </a:xfrm>
                            </wpg:grpSpPr>
                            <wps:wsp>
                              <wps:cNvPr id="39" name="矩形 39"/>
                              <wps:cNvSpPr/>
                              <wps:spPr>
                                <a:xfrm>
                                  <a:off x="0" y="0"/>
                                  <a:ext cx="3088800" cy="440640"/>
                                </a:xfrm>
                                <a:prstGeom prst="rect">
                                  <a:avLst/>
                                </a:prstGeom>
                                <a:solidFill>
                                  <a:srgbClr val="D8D8D8"/>
                                </a:solidFill>
                                <a:ln w="0">
                                  <a:noFill/>
                                </a:ln>
                              </wps:spPr>
                              <wps:bodyPr/>
                            </wps:wsp>
                            <wps:wsp>
                              <wps:cNvPr id="40" name="文本框 40"/>
                              <wps:cNvSpPr txBox="true"/>
                              <wps:spPr>
                                <a:xfrm>
                                  <a:off x="9360" y="103680"/>
                                  <a:ext cx="3008520" cy="421560"/>
                                </a:xfrm>
                                <a:prstGeom prst="rect">
                                  <a:avLst/>
                                </a:prstGeom>
                                <a:solidFill>
                                  <a:srgbClr val="AD002D"/>
                                </a:solidFill>
                                <a:ln w="25560">
                                  <a:solidFill>
                                    <a:srgbClr val="AF7621"/>
                                  </a:solidFill>
                                  <a:round/>
                                </a:ln>
                              </wps:spPr>
                              <wps:txb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2018年度部门决算☞决算报表</w:t>
                                    </w:r>
                                  </w:p>
                                  <w:p>
                                    <w:pPr>
                                      <w:overflowPunct w:val="0"/>
                                      <w:bidi w:val="0"/>
                                      <w:spacing w:beforeLines="0" w:beforeAutospacing="0" w:afterLines="0" w:afterAutospacing="0" w:line="240" w:lineRule="auto"/>
                                      <w:jc w:val="center"/>
                                    </w:pPr>
                                  </w:p>
                                </w:txbxContent>
                              </wps:txbx>
                              <wps:bodyPr wrap="square">
                                <a:noAutofit/>
                              </wps:bodyPr>
                            </wps:wsp>
                          </wpg:wgp>
                        </a:graphicData>
                      </a:graphic>
                    </wp:anchor>
                  </w:drawing>
                </mc:Choice>
                <mc:Fallback>
                  <w:pict>
                    <v:group id="组合 1062" o:spid="_x0000_s1026" o:spt="203" style="position:absolute;left:0pt;margin-left:-80.7pt;margin-top:-80.9pt;height:41.4pt;width:243.25pt;mso-position-vertical-relative:page;z-index:-503315456;mso-width-relative:page;mso-height-relative:page;" coordsize="3088800,525240" o:gfxdata="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BYAAABkcnMvUEsBAhQAFAAAAAgAh07iQPdU&#10;nWzbAAAADQEAAA8AAAAAAAAAAQAgAAAAOAAAAGRycy9kb3ducmV2LnhtbFBLAQIUABQAAAAIAIdO&#10;4kDe5boffAIAAD8GAAAOAAAAAAAAAAEAIAAAAEABAABkcnMvZTJvRG9jLnhtbFBLBQYAAAAABgAG&#10;AFkBAAAuBgAAAAA=&#10;">
                      <o:lock v:ext="edit" aspectratio="f"/>
                      <v:rect id="_x0000_s1026" o:spid="_x0000_s1026" o:spt="1" style="position:absolute;left:0;top:0;height:440640;width:3088800;" fillcolor="#D8D8D8" filled="t" stroked="f" coordsize="21600,21600" o:gfxdata="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kGepb0AAADbAAAADwAAAAAAAAABACAAAAA4AAAAZHJzL2Rvd25yZXYu&#10;eG1sUEsBAhQAFAAAAAgAh07iQDMvBZ47AAAAOQAAABAAAAAAAAAAAQAgAAAAIgEAAGRycy9zaGFw&#10;ZXhtbC54bWxQSwUGAAAAAAYABgBbAQAAzAMAAAAA&#10;">
                        <v:fill on="t" focussize="0,0"/>
                        <v:stroke on="f" weight="0pt"/>
                        <v:imagedata o:title=""/>
                        <o:lock v:ext="edit" aspectratio="f"/>
                      </v:rect>
                      <v:shape id="_x0000_s1026" o:spid="_x0000_s1026" o:spt="202" type="#_x0000_t202" style="position:absolute;left:9360;top:103680;height:421560;width:3008520;" fillcolor="#AD002D" filled="t" stroked="t" coordsize="21600,21600" o:gfxdata="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8Ac5ob0AAADbAAAADwAAAAAAAAABACAAAAA4AAAAZHJzL2Rvd25yZXYu&#10;eG1sUEsBAhQAFAAAAAgAh07iQDMvBZ47AAAAOQAAABAAAAAAAAAAAQAgAAAAIgEAAGRycy9zaGFw&#10;ZXhtbC54bWxQSwUGAAAAAAYABgBbAQAAzAMAAAAA&#10;">
                        <v:fill on="t" focussize="0,0"/>
                        <v:stroke weight="2.01259842519685pt" color="#AF7621" joinstyle="round"/>
                        <v:imagedata o:title=""/>
                        <o:lock v:ext="edit" aspectratio="f"/>
                        <v:textbo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2018年度部门决算☞决算报表</w:t>
                              </w:r>
                            </w:p>
                            <w:p>
                              <w:pPr>
                                <w:overflowPunct w:val="0"/>
                                <w:bidi w:val="0"/>
                                <w:spacing w:beforeLines="0" w:beforeAutospacing="0" w:afterLines="0" w:afterAutospacing="0" w:line="240" w:lineRule="auto"/>
                                <w:jc w:val="center"/>
                              </w:pPr>
                            </w:p>
                          </w:txbxContent>
                        </v:textbox>
                      </v:shape>
                    </v:group>
                  </w:pict>
                </mc:Fallback>
              </mc:AlternateContent>
            </w:r>
            <w:r>
              <w:rPr>
                <w:rFonts w:ascii="黑体" w:hAnsi="黑体" w:eastAsia="黑体" w:cs="黑体"/>
                <w:color w:val="000000"/>
                <w:kern w:val="0"/>
                <w:sz w:val="36"/>
                <w:szCs w:val="36"/>
              </w:rPr>
              <w:t>收入支出决算表</w:t>
            </w:r>
          </w:p>
        </w:tc>
      </w:tr>
      <w:tr>
        <w:tblPrEx>
          <w:tblCellMar>
            <w:top w:w="15" w:type="dxa"/>
            <w:left w:w="15" w:type="dxa"/>
            <w:bottom w:w="0" w:type="dxa"/>
            <w:right w:w="15" w:type="dxa"/>
          </w:tblCellMar>
        </w:tblPrEx>
        <w:trPr>
          <w:trHeight w:val="315" w:hRule="atLeast"/>
        </w:trPr>
        <w:tc>
          <w:tcPr>
            <w:tcW w:w="295" w:type="dxa"/>
            <w:vAlign w:val="center"/>
          </w:tcPr>
          <w:p>
            <w:pPr>
              <w:pStyle w:val="4"/>
              <w:widowControl w:val="0"/>
              <w:bidi w:val="0"/>
              <w:spacing w:beforeLines="0" w:beforeAutospacing="0" w:after="0" w:afterAutospacing="0" w:line="240" w:lineRule="auto"/>
              <w:rPr>
                <w:rFonts w:ascii="Arial" w:hAnsi="Arial" w:cs="Arial"/>
                <w:color w:val="000000"/>
                <w:szCs w:val="21"/>
              </w:rPr>
            </w:pPr>
          </w:p>
        </w:tc>
        <w:tc>
          <w:tcPr>
            <w:tcW w:w="192" w:type="dxa"/>
            <w:vAlign w:val="center"/>
          </w:tcPr>
          <w:p>
            <w:pPr>
              <w:pStyle w:val="4"/>
              <w:widowControl w:val="0"/>
              <w:bidi w:val="0"/>
              <w:spacing w:beforeLines="0" w:beforeAutospacing="0" w:after="0" w:afterAutospacing="0" w:line="240" w:lineRule="auto"/>
              <w:rPr>
                <w:rFonts w:ascii="Arial" w:hAnsi="Arial" w:cs="Arial"/>
                <w:color w:val="000000"/>
                <w:szCs w:val="21"/>
              </w:rPr>
            </w:pPr>
          </w:p>
        </w:tc>
        <w:tc>
          <w:tcPr>
            <w:tcW w:w="478" w:type="dxa"/>
            <w:vAlign w:val="center"/>
          </w:tcPr>
          <w:p>
            <w:pPr>
              <w:pStyle w:val="4"/>
              <w:widowControl w:val="0"/>
              <w:bidi w:val="0"/>
              <w:spacing w:beforeLines="0" w:beforeAutospacing="0" w:after="0" w:afterAutospacing="0" w:line="240" w:lineRule="auto"/>
              <w:rPr>
                <w:rFonts w:ascii="Arial" w:hAnsi="Arial" w:cs="Arial"/>
                <w:color w:val="000000"/>
                <w:szCs w:val="21"/>
              </w:rPr>
            </w:pPr>
          </w:p>
        </w:tc>
        <w:tc>
          <w:tcPr>
            <w:tcW w:w="669" w:type="dxa"/>
            <w:vAlign w:val="center"/>
          </w:tcPr>
          <w:p>
            <w:pPr>
              <w:pStyle w:val="4"/>
              <w:widowControl w:val="0"/>
              <w:bidi w:val="0"/>
              <w:spacing w:beforeLines="0" w:beforeAutospacing="0" w:after="0" w:afterAutospacing="0" w:line="240" w:lineRule="auto"/>
              <w:rPr>
                <w:rFonts w:ascii="Arial" w:hAnsi="Arial" w:cs="Arial"/>
                <w:color w:val="000000"/>
                <w:szCs w:val="21"/>
              </w:rPr>
            </w:pPr>
          </w:p>
        </w:tc>
        <w:tc>
          <w:tcPr>
            <w:tcW w:w="1543" w:type="dxa"/>
            <w:gridSpan w:val="2"/>
            <w:vAlign w:val="center"/>
          </w:tcPr>
          <w:p>
            <w:pPr>
              <w:pStyle w:val="4"/>
              <w:widowControl w:val="0"/>
              <w:bidi w:val="0"/>
              <w:spacing w:beforeLines="0" w:beforeAutospacing="0" w:after="0" w:afterAutospacing="0" w:line="240" w:lineRule="auto"/>
              <w:rPr>
                <w:rFonts w:ascii="Arial" w:hAnsi="Arial" w:cs="Arial"/>
                <w:color w:val="000000"/>
                <w:szCs w:val="21"/>
              </w:rPr>
            </w:pPr>
          </w:p>
        </w:tc>
        <w:tc>
          <w:tcPr>
            <w:tcW w:w="840" w:type="dxa"/>
            <w:vAlign w:val="center"/>
          </w:tcPr>
          <w:p>
            <w:pPr>
              <w:pStyle w:val="4"/>
              <w:widowControl w:val="0"/>
              <w:bidi w:val="0"/>
              <w:spacing w:beforeLines="0" w:beforeAutospacing="0" w:after="0" w:afterAutospacing="0" w:line="240" w:lineRule="auto"/>
              <w:rPr>
                <w:rFonts w:ascii="Arial" w:hAnsi="Arial" w:cs="Arial"/>
                <w:color w:val="000000"/>
                <w:szCs w:val="21"/>
              </w:rPr>
            </w:pPr>
          </w:p>
        </w:tc>
        <w:tc>
          <w:tcPr>
            <w:tcW w:w="1190" w:type="dxa"/>
            <w:vAlign w:val="center"/>
          </w:tcPr>
          <w:p>
            <w:pPr>
              <w:pStyle w:val="4"/>
              <w:widowControl w:val="0"/>
              <w:bidi w:val="0"/>
              <w:spacing w:beforeLines="0" w:beforeAutospacing="0" w:after="0" w:afterAutospacing="0" w:line="240" w:lineRule="auto"/>
              <w:rPr>
                <w:rFonts w:ascii="Arial" w:hAnsi="Arial" w:cs="Arial"/>
                <w:color w:val="000000"/>
                <w:szCs w:val="21"/>
              </w:rPr>
            </w:pPr>
          </w:p>
        </w:tc>
        <w:tc>
          <w:tcPr>
            <w:tcW w:w="1192" w:type="dxa"/>
            <w:vAlign w:val="center"/>
          </w:tcPr>
          <w:p>
            <w:pPr>
              <w:pStyle w:val="4"/>
              <w:widowControl w:val="0"/>
              <w:bidi w:val="0"/>
              <w:spacing w:beforeLines="0" w:beforeAutospacing="0" w:after="0" w:afterAutospacing="0" w:line="240" w:lineRule="auto"/>
              <w:rPr>
                <w:rFonts w:ascii="Arial" w:hAnsi="Arial" w:cs="Arial"/>
                <w:color w:val="000000"/>
                <w:szCs w:val="21"/>
              </w:rPr>
            </w:pPr>
          </w:p>
        </w:tc>
        <w:tc>
          <w:tcPr>
            <w:tcW w:w="1193" w:type="dxa"/>
            <w:vAlign w:val="center"/>
          </w:tcPr>
          <w:p>
            <w:pPr>
              <w:pStyle w:val="4"/>
              <w:widowControl w:val="0"/>
              <w:bidi w:val="0"/>
              <w:spacing w:beforeLines="0" w:beforeAutospacing="0" w:after="0" w:afterAutospacing="0" w:line="240" w:lineRule="auto"/>
              <w:rPr>
                <w:rFonts w:ascii="Arial" w:hAnsi="Arial" w:cs="Arial"/>
                <w:color w:val="000000"/>
                <w:szCs w:val="21"/>
              </w:rPr>
            </w:pPr>
          </w:p>
        </w:tc>
        <w:tc>
          <w:tcPr>
            <w:tcW w:w="1267" w:type="dxa"/>
            <w:vAlign w:val="center"/>
          </w:tcPr>
          <w:p>
            <w:pPr>
              <w:pStyle w:val="4"/>
              <w:widowControl w:val="0"/>
              <w:bidi w:val="0"/>
              <w:spacing w:beforeLines="0" w:beforeAutospacing="0" w:after="0" w:afterAutospacing="0" w:line="240" w:lineRule="auto"/>
              <w:jc w:val="right"/>
              <w:textAlignment w:val="center"/>
              <w:rPr>
                <w:rFonts w:ascii="宋体" w:hAnsi="宋体" w:cs="宋体"/>
                <w:color w:val="000000"/>
                <w:szCs w:val="21"/>
              </w:rPr>
            </w:pPr>
            <w:r>
              <w:rPr>
                <w:rFonts w:ascii="宋体" w:hAnsi="宋体" w:cs="宋体"/>
                <w:color w:val="000000"/>
                <w:kern w:val="0"/>
                <w:szCs w:val="21"/>
              </w:rPr>
              <w:t>公开08表</w:t>
            </w:r>
          </w:p>
        </w:tc>
      </w:tr>
      <w:tr>
        <w:tblPrEx>
          <w:tblCellMar>
            <w:top w:w="15" w:type="dxa"/>
            <w:left w:w="15" w:type="dxa"/>
            <w:bottom w:w="0" w:type="dxa"/>
            <w:right w:w="15" w:type="dxa"/>
          </w:tblCellMar>
        </w:tblPrEx>
        <w:trPr>
          <w:trHeight w:val="411" w:hRule="atLeast"/>
        </w:trPr>
        <w:tc>
          <w:tcPr>
            <w:tcW w:w="3177" w:type="dxa"/>
            <w:gridSpan w:val="6"/>
            <w:vAlign w:val="center"/>
          </w:tcPr>
          <w:p>
            <w:pPr>
              <w:pStyle w:val="4"/>
              <w:widowControl w:val="0"/>
              <w:bidi w:val="0"/>
              <w:spacing w:beforeLines="0" w:beforeAutospacing="0" w:after="0" w:afterAutospacing="0" w:line="240" w:lineRule="auto"/>
              <w:jc w:val="left"/>
              <w:textAlignment w:val="center"/>
              <w:rPr>
                <w:rFonts w:ascii="宋体" w:hAnsi="宋体" w:cs="宋体"/>
                <w:color w:val="000000"/>
                <w:szCs w:val="21"/>
              </w:rPr>
            </w:pPr>
            <w:r>
              <w:rPr>
                <w:rFonts w:ascii="宋体" w:hAnsi="宋体" w:cs="宋体"/>
                <w:color w:val="000000"/>
                <w:kern w:val="0"/>
                <w:szCs w:val="21"/>
              </w:rPr>
              <w:t>部门：</w:t>
            </w:r>
            <w:r>
              <w:rPr>
                <w:rFonts w:ascii="宋体" w:hAnsi="宋体" w:cs="宋体"/>
                <w:color w:val="000000"/>
                <w:kern w:val="0"/>
                <w:sz w:val="20"/>
                <w:szCs w:val="20"/>
              </w:rPr>
              <w:t>唐山市工商行政管理局</w:t>
            </w:r>
          </w:p>
        </w:tc>
        <w:tc>
          <w:tcPr>
            <w:tcW w:w="840" w:type="dxa"/>
            <w:vAlign w:val="center"/>
          </w:tcPr>
          <w:p>
            <w:pPr>
              <w:pStyle w:val="4"/>
              <w:widowControl w:val="0"/>
              <w:bidi w:val="0"/>
              <w:spacing w:beforeLines="0" w:beforeAutospacing="0" w:after="0" w:afterAutospacing="0" w:line="240" w:lineRule="auto"/>
              <w:rPr>
                <w:rFonts w:ascii="Arial" w:hAnsi="Arial" w:cs="Arial"/>
                <w:color w:val="000000"/>
                <w:szCs w:val="21"/>
              </w:rPr>
            </w:pPr>
          </w:p>
        </w:tc>
        <w:tc>
          <w:tcPr>
            <w:tcW w:w="1190" w:type="dxa"/>
            <w:vAlign w:val="center"/>
          </w:tcPr>
          <w:p>
            <w:pPr>
              <w:pStyle w:val="4"/>
              <w:widowControl w:val="0"/>
              <w:bidi w:val="0"/>
              <w:spacing w:beforeLines="0" w:beforeAutospacing="0" w:after="0" w:afterAutospacing="0" w:line="240" w:lineRule="auto"/>
              <w:rPr>
                <w:rFonts w:ascii="Arial" w:hAnsi="Arial" w:cs="Arial"/>
                <w:color w:val="000000"/>
                <w:szCs w:val="21"/>
              </w:rPr>
            </w:pPr>
          </w:p>
        </w:tc>
        <w:tc>
          <w:tcPr>
            <w:tcW w:w="1192" w:type="dxa"/>
            <w:vAlign w:val="center"/>
          </w:tcPr>
          <w:p>
            <w:pPr>
              <w:pStyle w:val="4"/>
              <w:widowControl w:val="0"/>
              <w:bidi w:val="0"/>
              <w:spacing w:beforeLines="0" w:beforeAutospacing="0" w:after="0" w:afterAutospacing="0" w:line="240" w:lineRule="auto"/>
              <w:rPr>
                <w:rFonts w:ascii="Arial" w:hAnsi="Arial" w:cs="Arial"/>
                <w:color w:val="000000"/>
                <w:szCs w:val="21"/>
              </w:rPr>
            </w:pPr>
          </w:p>
        </w:tc>
        <w:tc>
          <w:tcPr>
            <w:tcW w:w="2460" w:type="dxa"/>
            <w:gridSpan w:val="2"/>
            <w:vAlign w:val="center"/>
          </w:tcPr>
          <w:p>
            <w:pPr>
              <w:pStyle w:val="4"/>
              <w:widowControl w:val="0"/>
              <w:bidi w:val="0"/>
              <w:spacing w:beforeLines="0" w:beforeAutospacing="0" w:after="0" w:afterAutospacing="0" w:line="240" w:lineRule="auto"/>
              <w:jc w:val="right"/>
              <w:textAlignment w:val="center"/>
              <w:rPr>
                <w:rFonts w:ascii="宋体" w:hAnsi="宋体" w:cs="宋体"/>
                <w:color w:val="000000"/>
                <w:szCs w:val="21"/>
              </w:rPr>
            </w:pPr>
            <w:r>
              <w:rPr>
                <w:rFonts w:ascii="宋体" w:hAnsi="宋体" w:cs="宋体"/>
                <w:color w:val="000000"/>
                <w:kern w:val="0"/>
                <w:szCs w:val="21"/>
              </w:rPr>
              <w:t>金额单位：万元</w:t>
            </w:r>
          </w:p>
        </w:tc>
      </w:tr>
      <w:tr>
        <w:tblPrEx>
          <w:tblCellMar>
            <w:top w:w="15" w:type="dxa"/>
            <w:left w:w="15" w:type="dxa"/>
            <w:bottom w:w="0" w:type="dxa"/>
            <w:right w:w="15" w:type="dxa"/>
          </w:tblCellMar>
        </w:tblPrEx>
        <w:trPr>
          <w:trHeight w:val="324" w:hRule="atLeast"/>
        </w:trPr>
        <w:tc>
          <w:tcPr>
            <w:tcW w:w="2011" w:type="dxa"/>
            <w:gridSpan w:val="5"/>
            <w:tcBorders>
              <w:top w:val="single" w:color="000000" w:sz="4" w:space="0"/>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项目</w:t>
            </w:r>
          </w:p>
        </w:tc>
        <w:tc>
          <w:tcPr>
            <w:tcW w:w="1166" w:type="dxa"/>
            <w:vMerge w:val="restart"/>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年初结转和结余</w:t>
            </w:r>
          </w:p>
        </w:tc>
        <w:tc>
          <w:tcPr>
            <w:tcW w:w="840" w:type="dxa"/>
            <w:vMerge w:val="restart"/>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本年收入</w:t>
            </w:r>
          </w:p>
        </w:tc>
        <w:tc>
          <w:tcPr>
            <w:tcW w:w="3575" w:type="dxa"/>
            <w:gridSpan w:val="3"/>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本年支出</w:t>
            </w:r>
          </w:p>
        </w:tc>
        <w:tc>
          <w:tcPr>
            <w:tcW w:w="1267" w:type="dxa"/>
            <w:vMerge w:val="restart"/>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年末结转和结余</w:t>
            </w:r>
          </w:p>
        </w:tc>
      </w:tr>
      <w:tr>
        <w:tblPrEx>
          <w:tblCellMar>
            <w:top w:w="15" w:type="dxa"/>
            <w:left w:w="15" w:type="dxa"/>
            <w:bottom w:w="0" w:type="dxa"/>
            <w:right w:w="15" w:type="dxa"/>
          </w:tblCellMar>
        </w:tblPrEx>
        <w:trPr>
          <w:trHeight w:val="324" w:hRule="atLeast"/>
        </w:trPr>
        <w:tc>
          <w:tcPr>
            <w:tcW w:w="965" w:type="dxa"/>
            <w:gridSpan w:val="3"/>
            <w:vMerge w:val="restart"/>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功能分类科目编码</w:t>
            </w:r>
          </w:p>
        </w:tc>
        <w:tc>
          <w:tcPr>
            <w:tcW w:w="1046" w:type="dxa"/>
            <w:gridSpan w:val="2"/>
            <w:vMerge w:val="restart"/>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科目名称</w:t>
            </w:r>
          </w:p>
        </w:tc>
        <w:tc>
          <w:tcPr>
            <w:tcW w:w="1166" w:type="dxa"/>
            <w:vMerge w:val="continue"/>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Cs w:val="21"/>
              </w:rPr>
            </w:pPr>
          </w:p>
        </w:tc>
        <w:tc>
          <w:tcPr>
            <w:tcW w:w="840" w:type="dxa"/>
            <w:vMerge w:val="continue"/>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Cs w:val="21"/>
              </w:rPr>
            </w:pPr>
          </w:p>
        </w:tc>
        <w:tc>
          <w:tcPr>
            <w:tcW w:w="1190" w:type="dxa"/>
            <w:vMerge w:val="restart"/>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小计</w:t>
            </w:r>
          </w:p>
        </w:tc>
        <w:tc>
          <w:tcPr>
            <w:tcW w:w="1192" w:type="dxa"/>
            <w:vMerge w:val="restart"/>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基本支出</w:t>
            </w:r>
          </w:p>
        </w:tc>
        <w:tc>
          <w:tcPr>
            <w:tcW w:w="1193" w:type="dxa"/>
            <w:vMerge w:val="restart"/>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项目支出</w:t>
            </w:r>
          </w:p>
        </w:tc>
        <w:tc>
          <w:tcPr>
            <w:tcW w:w="1267" w:type="dxa"/>
            <w:vMerge w:val="continue"/>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Cs w:val="21"/>
              </w:rPr>
            </w:pPr>
          </w:p>
        </w:tc>
      </w:tr>
      <w:tr>
        <w:tblPrEx>
          <w:tblCellMar>
            <w:top w:w="15" w:type="dxa"/>
            <w:left w:w="15" w:type="dxa"/>
            <w:bottom w:w="0" w:type="dxa"/>
            <w:right w:w="15" w:type="dxa"/>
          </w:tblCellMar>
        </w:tblPrEx>
        <w:trPr>
          <w:trHeight w:val="324" w:hRule="atLeast"/>
        </w:trPr>
        <w:tc>
          <w:tcPr>
            <w:tcW w:w="965" w:type="dxa"/>
            <w:gridSpan w:val="3"/>
            <w:vMerge w:val="continue"/>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Cs w:val="21"/>
              </w:rPr>
            </w:pPr>
          </w:p>
        </w:tc>
        <w:tc>
          <w:tcPr>
            <w:tcW w:w="1046" w:type="dxa"/>
            <w:gridSpan w:val="2"/>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Cs w:val="21"/>
              </w:rPr>
            </w:pPr>
          </w:p>
        </w:tc>
        <w:tc>
          <w:tcPr>
            <w:tcW w:w="1166" w:type="dxa"/>
            <w:vMerge w:val="continue"/>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Cs w:val="21"/>
              </w:rPr>
            </w:pPr>
          </w:p>
        </w:tc>
        <w:tc>
          <w:tcPr>
            <w:tcW w:w="840" w:type="dxa"/>
            <w:vMerge w:val="continue"/>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Cs w:val="21"/>
              </w:rPr>
            </w:pPr>
          </w:p>
        </w:tc>
        <w:tc>
          <w:tcPr>
            <w:tcW w:w="1190" w:type="dxa"/>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Cs w:val="21"/>
              </w:rPr>
            </w:pPr>
          </w:p>
        </w:tc>
        <w:tc>
          <w:tcPr>
            <w:tcW w:w="1192" w:type="dxa"/>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Cs w:val="21"/>
              </w:rPr>
            </w:pPr>
          </w:p>
        </w:tc>
        <w:tc>
          <w:tcPr>
            <w:tcW w:w="1193" w:type="dxa"/>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Cs w:val="21"/>
              </w:rPr>
            </w:pPr>
          </w:p>
        </w:tc>
        <w:tc>
          <w:tcPr>
            <w:tcW w:w="1267" w:type="dxa"/>
            <w:vMerge w:val="continue"/>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Cs w:val="21"/>
              </w:rPr>
            </w:pPr>
          </w:p>
        </w:tc>
      </w:tr>
      <w:tr>
        <w:tblPrEx>
          <w:tblCellMar>
            <w:top w:w="15" w:type="dxa"/>
            <w:left w:w="15" w:type="dxa"/>
            <w:bottom w:w="0" w:type="dxa"/>
            <w:right w:w="15" w:type="dxa"/>
          </w:tblCellMar>
        </w:tblPrEx>
        <w:trPr>
          <w:trHeight w:val="312" w:hRule="atLeast"/>
        </w:trPr>
        <w:tc>
          <w:tcPr>
            <w:tcW w:w="965" w:type="dxa"/>
            <w:gridSpan w:val="3"/>
            <w:vMerge w:val="continue"/>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Cs w:val="21"/>
              </w:rPr>
            </w:pPr>
          </w:p>
        </w:tc>
        <w:tc>
          <w:tcPr>
            <w:tcW w:w="1046" w:type="dxa"/>
            <w:gridSpan w:val="2"/>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Cs w:val="21"/>
              </w:rPr>
            </w:pPr>
          </w:p>
        </w:tc>
        <w:tc>
          <w:tcPr>
            <w:tcW w:w="1166" w:type="dxa"/>
            <w:vMerge w:val="continue"/>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Cs w:val="21"/>
              </w:rPr>
            </w:pPr>
          </w:p>
        </w:tc>
        <w:tc>
          <w:tcPr>
            <w:tcW w:w="840" w:type="dxa"/>
            <w:vMerge w:val="continue"/>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Cs w:val="21"/>
              </w:rPr>
            </w:pPr>
          </w:p>
        </w:tc>
        <w:tc>
          <w:tcPr>
            <w:tcW w:w="1190" w:type="dxa"/>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Cs w:val="21"/>
              </w:rPr>
            </w:pPr>
          </w:p>
        </w:tc>
        <w:tc>
          <w:tcPr>
            <w:tcW w:w="1192" w:type="dxa"/>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Cs w:val="21"/>
              </w:rPr>
            </w:pPr>
          </w:p>
        </w:tc>
        <w:tc>
          <w:tcPr>
            <w:tcW w:w="1193" w:type="dxa"/>
            <w:vMerge w:val="continue"/>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Cs w:val="21"/>
              </w:rPr>
            </w:pPr>
          </w:p>
        </w:tc>
        <w:tc>
          <w:tcPr>
            <w:tcW w:w="1267" w:type="dxa"/>
            <w:vMerge w:val="continue"/>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rPr>
                <w:rFonts w:ascii="宋体" w:hAnsi="宋体" w:cs="宋体"/>
                <w:color w:val="000000"/>
                <w:szCs w:val="21"/>
              </w:rPr>
            </w:pPr>
          </w:p>
        </w:tc>
      </w:tr>
      <w:tr>
        <w:tblPrEx>
          <w:tblCellMar>
            <w:top w:w="15" w:type="dxa"/>
            <w:left w:w="15" w:type="dxa"/>
            <w:bottom w:w="0" w:type="dxa"/>
            <w:right w:w="15" w:type="dxa"/>
          </w:tblCellMar>
        </w:tblPrEx>
        <w:trPr>
          <w:trHeight w:val="324" w:hRule="atLeast"/>
        </w:trPr>
        <w:tc>
          <w:tcPr>
            <w:tcW w:w="2011" w:type="dxa"/>
            <w:gridSpan w:val="5"/>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栏次</w:t>
            </w:r>
          </w:p>
        </w:tc>
        <w:tc>
          <w:tcPr>
            <w:tcW w:w="116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1</w:t>
            </w:r>
          </w:p>
        </w:tc>
        <w:tc>
          <w:tcPr>
            <w:tcW w:w="84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2</w:t>
            </w:r>
          </w:p>
        </w:tc>
        <w:tc>
          <w:tcPr>
            <w:tcW w:w="119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3</w:t>
            </w:r>
          </w:p>
        </w:tc>
        <w:tc>
          <w:tcPr>
            <w:tcW w:w="1192"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4</w:t>
            </w:r>
          </w:p>
        </w:tc>
        <w:tc>
          <w:tcPr>
            <w:tcW w:w="1193"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5</w:t>
            </w:r>
          </w:p>
        </w:tc>
        <w:tc>
          <w:tcPr>
            <w:tcW w:w="1267"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6</w:t>
            </w:r>
          </w:p>
        </w:tc>
      </w:tr>
      <w:tr>
        <w:tblPrEx>
          <w:tblCellMar>
            <w:top w:w="15" w:type="dxa"/>
            <w:left w:w="15" w:type="dxa"/>
            <w:bottom w:w="0" w:type="dxa"/>
            <w:right w:w="15" w:type="dxa"/>
          </w:tblCellMar>
        </w:tblPrEx>
        <w:trPr>
          <w:trHeight w:val="324" w:hRule="atLeast"/>
        </w:trPr>
        <w:tc>
          <w:tcPr>
            <w:tcW w:w="2011" w:type="dxa"/>
            <w:gridSpan w:val="5"/>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合计</w:t>
            </w:r>
          </w:p>
        </w:tc>
        <w:tc>
          <w:tcPr>
            <w:tcW w:w="116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b/>
                <w:color w:val="000000"/>
                <w:szCs w:val="21"/>
              </w:rPr>
            </w:pPr>
          </w:p>
        </w:tc>
        <w:tc>
          <w:tcPr>
            <w:tcW w:w="84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b/>
                <w:color w:val="000000"/>
                <w:szCs w:val="21"/>
              </w:rPr>
            </w:pPr>
          </w:p>
        </w:tc>
        <w:tc>
          <w:tcPr>
            <w:tcW w:w="119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b/>
                <w:color w:val="000000"/>
                <w:szCs w:val="21"/>
              </w:rPr>
            </w:pPr>
          </w:p>
        </w:tc>
        <w:tc>
          <w:tcPr>
            <w:tcW w:w="1192"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b/>
                <w:color w:val="000000"/>
                <w:szCs w:val="21"/>
              </w:rPr>
            </w:pPr>
          </w:p>
        </w:tc>
        <w:tc>
          <w:tcPr>
            <w:tcW w:w="1193"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b/>
                <w:color w:val="000000"/>
                <w:szCs w:val="21"/>
              </w:rPr>
            </w:pPr>
          </w:p>
        </w:tc>
        <w:tc>
          <w:tcPr>
            <w:tcW w:w="1267"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b/>
                <w:color w:val="000000"/>
                <w:szCs w:val="21"/>
              </w:rPr>
            </w:pPr>
          </w:p>
        </w:tc>
      </w:tr>
      <w:tr>
        <w:tblPrEx>
          <w:tblCellMar>
            <w:top w:w="15" w:type="dxa"/>
            <w:left w:w="15" w:type="dxa"/>
            <w:bottom w:w="0" w:type="dxa"/>
            <w:right w:w="15" w:type="dxa"/>
          </w:tblCellMar>
        </w:tblPrEx>
        <w:trPr>
          <w:trHeight w:val="324" w:hRule="atLeast"/>
        </w:trPr>
        <w:tc>
          <w:tcPr>
            <w:tcW w:w="965"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Cs w:val="21"/>
              </w:rPr>
            </w:pPr>
          </w:p>
        </w:tc>
        <w:tc>
          <w:tcPr>
            <w:tcW w:w="104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Cs w:val="21"/>
              </w:rPr>
            </w:pPr>
          </w:p>
        </w:tc>
        <w:tc>
          <w:tcPr>
            <w:tcW w:w="116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84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2"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3"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267"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r>
      <w:tr>
        <w:tblPrEx>
          <w:tblCellMar>
            <w:top w:w="15" w:type="dxa"/>
            <w:left w:w="15" w:type="dxa"/>
            <w:bottom w:w="0" w:type="dxa"/>
            <w:right w:w="15" w:type="dxa"/>
          </w:tblCellMar>
        </w:tblPrEx>
        <w:trPr>
          <w:trHeight w:val="324" w:hRule="atLeast"/>
        </w:trPr>
        <w:tc>
          <w:tcPr>
            <w:tcW w:w="965"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Cs w:val="21"/>
              </w:rPr>
            </w:pPr>
          </w:p>
        </w:tc>
        <w:tc>
          <w:tcPr>
            <w:tcW w:w="104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Cs w:val="21"/>
              </w:rPr>
            </w:pPr>
          </w:p>
        </w:tc>
        <w:tc>
          <w:tcPr>
            <w:tcW w:w="116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84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2"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3"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267"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r>
      <w:tr>
        <w:tblPrEx>
          <w:tblCellMar>
            <w:top w:w="15" w:type="dxa"/>
            <w:left w:w="15" w:type="dxa"/>
            <w:bottom w:w="0" w:type="dxa"/>
            <w:right w:w="15" w:type="dxa"/>
          </w:tblCellMar>
        </w:tblPrEx>
        <w:trPr>
          <w:trHeight w:val="324" w:hRule="atLeast"/>
        </w:trPr>
        <w:tc>
          <w:tcPr>
            <w:tcW w:w="965"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Cs w:val="21"/>
              </w:rPr>
            </w:pPr>
          </w:p>
        </w:tc>
        <w:tc>
          <w:tcPr>
            <w:tcW w:w="104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Cs w:val="21"/>
              </w:rPr>
            </w:pPr>
          </w:p>
        </w:tc>
        <w:tc>
          <w:tcPr>
            <w:tcW w:w="116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84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2"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3"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267"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r>
      <w:tr>
        <w:tblPrEx>
          <w:tblCellMar>
            <w:top w:w="15" w:type="dxa"/>
            <w:left w:w="15" w:type="dxa"/>
            <w:bottom w:w="0" w:type="dxa"/>
            <w:right w:w="15" w:type="dxa"/>
          </w:tblCellMar>
        </w:tblPrEx>
        <w:trPr>
          <w:trHeight w:val="324" w:hRule="atLeast"/>
        </w:trPr>
        <w:tc>
          <w:tcPr>
            <w:tcW w:w="965"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Cs w:val="21"/>
              </w:rPr>
            </w:pPr>
          </w:p>
        </w:tc>
        <w:tc>
          <w:tcPr>
            <w:tcW w:w="104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Cs w:val="21"/>
              </w:rPr>
            </w:pPr>
          </w:p>
        </w:tc>
        <w:tc>
          <w:tcPr>
            <w:tcW w:w="116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84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2"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3"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267"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r>
      <w:tr>
        <w:tblPrEx>
          <w:tblCellMar>
            <w:top w:w="15" w:type="dxa"/>
            <w:left w:w="15" w:type="dxa"/>
            <w:bottom w:w="0" w:type="dxa"/>
            <w:right w:w="15" w:type="dxa"/>
          </w:tblCellMar>
        </w:tblPrEx>
        <w:trPr>
          <w:trHeight w:val="324" w:hRule="atLeast"/>
        </w:trPr>
        <w:tc>
          <w:tcPr>
            <w:tcW w:w="965"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Cs w:val="21"/>
              </w:rPr>
            </w:pPr>
          </w:p>
        </w:tc>
        <w:tc>
          <w:tcPr>
            <w:tcW w:w="104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Cs w:val="21"/>
              </w:rPr>
            </w:pPr>
          </w:p>
        </w:tc>
        <w:tc>
          <w:tcPr>
            <w:tcW w:w="116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84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2"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3"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267"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r>
      <w:tr>
        <w:tblPrEx>
          <w:tblCellMar>
            <w:top w:w="15" w:type="dxa"/>
            <w:left w:w="15" w:type="dxa"/>
            <w:bottom w:w="0" w:type="dxa"/>
            <w:right w:w="15" w:type="dxa"/>
          </w:tblCellMar>
        </w:tblPrEx>
        <w:trPr>
          <w:trHeight w:val="324" w:hRule="atLeast"/>
        </w:trPr>
        <w:tc>
          <w:tcPr>
            <w:tcW w:w="965"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Cs w:val="21"/>
              </w:rPr>
            </w:pPr>
          </w:p>
        </w:tc>
        <w:tc>
          <w:tcPr>
            <w:tcW w:w="104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Cs w:val="21"/>
              </w:rPr>
            </w:pPr>
          </w:p>
        </w:tc>
        <w:tc>
          <w:tcPr>
            <w:tcW w:w="116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84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2"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3"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267"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r>
      <w:tr>
        <w:tblPrEx>
          <w:tblCellMar>
            <w:top w:w="15" w:type="dxa"/>
            <w:left w:w="15" w:type="dxa"/>
            <w:bottom w:w="0" w:type="dxa"/>
            <w:right w:w="15" w:type="dxa"/>
          </w:tblCellMar>
        </w:tblPrEx>
        <w:trPr>
          <w:trHeight w:val="324" w:hRule="atLeast"/>
        </w:trPr>
        <w:tc>
          <w:tcPr>
            <w:tcW w:w="965"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Cs w:val="21"/>
              </w:rPr>
            </w:pPr>
          </w:p>
        </w:tc>
        <w:tc>
          <w:tcPr>
            <w:tcW w:w="104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Cs w:val="21"/>
              </w:rPr>
            </w:pPr>
          </w:p>
        </w:tc>
        <w:tc>
          <w:tcPr>
            <w:tcW w:w="116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84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2"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3"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267"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r>
      <w:tr>
        <w:tblPrEx>
          <w:tblCellMar>
            <w:top w:w="15" w:type="dxa"/>
            <w:left w:w="15" w:type="dxa"/>
            <w:bottom w:w="0" w:type="dxa"/>
            <w:right w:w="15" w:type="dxa"/>
          </w:tblCellMar>
        </w:tblPrEx>
        <w:trPr>
          <w:trHeight w:val="324" w:hRule="atLeast"/>
        </w:trPr>
        <w:tc>
          <w:tcPr>
            <w:tcW w:w="965"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Cs w:val="21"/>
              </w:rPr>
            </w:pPr>
          </w:p>
        </w:tc>
        <w:tc>
          <w:tcPr>
            <w:tcW w:w="104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Cs w:val="21"/>
              </w:rPr>
            </w:pPr>
          </w:p>
        </w:tc>
        <w:tc>
          <w:tcPr>
            <w:tcW w:w="116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84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2"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3"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267"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r>
      <w:tr>
        <w:tblPrEx>
          <w:tblCellMar>
            <w:top w:w="15" w:type="dxa"/>
            <w:left w:w="15" w:type="dxa"/>
            <w:bottom w:w="0" w:type="dxa"/>
            <w:right w:w="15" w:type="dxa"/>
          </w:tblCellMar>
        </w:tblPrEx>
        <w:trPr>
          <w:trHeight w:val="324" w:hRule="atLeast"/>
        </w:trPr>
        <w:tc>
          <w:tcPr>
            <w:tcW w:w="965"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Cs w:val="21"/>
              </w:rPr>
            </w:pPr>
          </w:p>
        </w:tc>
        <w:tc>
          <w:tcPr>
            <w:tcW w:w="104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Cs w:val="21"/>
              </w:rPr>
            </w:pPr>
          </w:p>
        </w:tc>
        <w:tc>
          <w:tcPr>
            <w:tcW w:w="116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84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2"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3"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267"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r>
      <w:tr>
        <w:tblPrEx>
          <w:tblCellMar>
            <w:top w:w="15" w:type="dxa"/>
            <w:left w:w="15" w:type="dxa"/>
            <w:bottom w:w="0" w:type="dxa"/>
            <w:right w:w="15" w:type="dxa"/>
          </w:tblCellMar>
        </w:tblPrEx>
        <w:trPr>
          <w:trHeight w:val="324" w:hRule="atLeast"/>
        </w:trPr>
        <w:tc>
          <w:tcPr>
            <w:tcW w:w="965" w:type="dxa"/>
            <w:gridSpan w:val="3"/>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Cs w:val="21"/>
              </w:rPr>
            </w:pPr>
          </w:p>
        </w:tc>
        <w:tc>
          <w:tcPr>
            <w:tcW w:w="104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Cs w:val="21"/>
              </w:rPr>
            </w:pPr>
          </w:p>
        </w:tc>
        <w:tc>
          <w:tcPr>
            <w:tcW w:w="1166"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84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0"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2"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193"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c>
          <w:tcPr>
            <w:tcW w:w="1267"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Cs w:val="21"/>
              </w:rPr>
            </w:pPr>
          </w:p>
        </w:tc>
      </w:tr>
      <w:tr>
        <w:tblPrEx>
          <w:tblCellMar>
            <w:top w:w="15" w:type="dxa"/>
            <w:left w:w="15" w:type="dxa"/>
            <w:bottom w:w="0" w:type="dxa"/>
            <w:right w:w="15" w:type="dxa"/>
          </w:tblCellMar>
        </w:tblPrEx>
        <w:trPr>
          <w:trHeight w:val="324" w:hRule="atLeast"/>
        </w:trPr>
        <w:tc>
          <w:tcPr>
            <w:tcW w:w="8859" w:type="dxa"/>
            <w:gridSpan w:val="11"/>
            <w:vAlign w:val="center"/>
          </w:tcPr>
          <w:p>
            <w:pPr>
              <w:pStyle w:val="4"/>
              <w:widowControl w:val="0"/>
              <w:bidi w:val="0"/>
              <w:spacing w:beforeLines="0" w:beforeAutospacing="0" w:after="0" w:afterAutospacing="0" w:line="240" w:lineRule="auto"/>
              <w:jc w:val="left"/>
              <w:textAlignment w:val="center"/>
              <w:rPr>
                <w:rFonts w:ascii="宋体" w:hAnsi="宋体" w:cs="宋体"/>
                <w:color w:val="000000"/>
                <w:szCs w:val="21"/>
              </w:rPr>
            </w:pPr>
            <w:r>
              <w:rPr>
                <w:rFonts w:ascii="宋体" w:hAnsi="宋体" w:cs="宋体"/>
                <w:color w:val="000000"/>
                <w:kern w:val="0"/>
                <w:szCs w:val="21"/>
              </w:rPr>
              <w:t xml:space="preserve">注：本表反映部门本年度政府性基金预算财政拨款收入、支出及结转和结余情况。         </w:t>
            </w:r>
          </w:p>
        </w:tc>
      </w:tr>
    </w:tbl>
    <w:p>
      <w:pPr>
        <w:pStyle w:val="4"/>
        <w:widowControl/>
        <w:bidi w:val="0"/>
        <w:spacing w:beforeLines="0" w:beforeAutospacing="0" w:after="0" w:afterAutospacing="0" w:line="560" w:lineRule="exact"/>
        <w:jc w:val="left"/>
        <w:sectPr>
          <w:pgSz w:w="11906" w:h="16838"/>
          <w:pgMar w:top="2098" w:right="1474" w:bottom="1984" w:left="1588" w:header="0" w:footer="0" w:gutter="0"/>
          <w:pgNumType w:fmt="decimal"/>
          <w:cols w:space="720" w:num="1"/>
          <w:formProt w:val="0"/>
          <w:docGrid w:type="lines" w:linePitch="312" w:charSpace="43007"/>
        </w:sectPr>
      </w:pPr>
    </w:p>
    <w:tbl>
      <w:tblPr>
        <w:tblStyle w:val="2"/>
        <w:tblW w:w="8800" w:type="dxa"/>
        <w:tblInd w:w="15" w:type="dxa"/>
        <w:tblLayout w:type="fixed"/>
        <w:tblCellMar>
          <w:top w:w="15" w:type="dxa"/>
          <w:left w:w="15" w:type="dxa"/>
          <w:bottom w:w="0" w:type="dxa"/>
          <w:right w:w="15" w:type="dxa"/>
        </w:tblCellMar>
      </w:tblPr>
      <w:tblGrid>
        <w:gridCol w:w="441"/>
        <w:gridCol w:w="209"/>
        <w:gridCol w:w="503"/>
        <w:gridCol w:w="275"/>
        <w:gridCol w:w="894"/>
        <w:gridCol w:w="782"/>
        <w:gridCol w:w="253"/>
        <w:gridCol w:w="1645"/>
        <w:gridCol w:w="359"/>
        <w:gridCol w:w="1539"/>
        <w:gridCol w:w="1899"/>
      </w:tblGrid>
      <w:tr>
        <w:tblPrEx>
          <w:tblCellMar>
            <w:top w:w="15" w:type="dxa"/>
            <w:left w:w="15" w:type="dxa"/>
            <w:bottom w:w="0" w:type="dxa"/>
            <w:right w:w="15" w:type="dxa"/>
          </w:tblCellMar>
        </w:tblPrEx>
        <w:trPr>
          <w:trHeight w:val="656" w:hRule="atLeast"/>
        </w:trPr>
        <w:tc>
          <w:tcPr>
            <w:tcW w:w="8799" w:type="dxa"/>
            <w:gridSpan w:val="11"/>
            <w:vAlign w:val="center"/>
          </w:tcPr>
          <w:p>
            <w:pPr>
              <w:pStyle w:val="4"/>
              <w:widowControl w:val="0"/>
              <w:bidi w:val="0"/>
              <w:spacing w:beforeLines="0" w:beforeAutospacing="0" w:after="0" w:afterAutospacing="0" w:line="240" w:lineRule="auto"/>
              <w:jc w:val="center"/>
              <w:textAlignment w:val="center"/>
              <w:rPr>
                <w:rFonts w:ascii="黑体" w:hAnsi="黑体" w:eastAsia="黑体" w:cs="黑体"/>
                <w:color w:val="000000"/>
                <w:sz w:val="40"/>
                <w:szCs w:val="40"/>
              </w:rPr>
            </w:pPr>
            <w:r>
              <w:rPr>
                <w:rFonts w:ascii="黑体" w:hAnsi="黑体" w:eastAsia="黑体" w:cs="黑体"/>
                <w:color w:val="000000"/>
                <w:kern w:val="0"/>
                <w:sz w:val="40"/>
                <w:szCs w:val="40"/>
              </w:rPr>
              <w:t>国有资本经营预算财政拨</w:t>
            </w:r>
            <w:r>
              <mc:AlternateContent>
                <mc:Choice Requires="wpg">
                  <w:drawing>
                    <wp:anchor distT="0" distB="0" distL="114300" distR="114300" simplePos="0" relativeHeight="1024" behindDoc="1" locked="0" layoutInCell="1" allowOverlap="1">
                      <wp:simplePos x="0" y="0"/>
                      <wp:positionH relativeFrom="column">
                        <wp:posOffset>-1024890</wp:posOffset>
                      </wp:positionH>
                      <wp:positionV relativeFrom="page">
                        <wp:posOffset>-1027430</wp:posOffset>
                      </wp:positionV>
                      <wp:extent cx="3089275" cy="525780"/>
                      <wp:effectExtent l="0" t="0" r="0" b="0"/>
                      <wp:wrapNone/>
                      <wp:docPr id="41" name="组合 1065"/>
                      <wp:cNvGraphicFramePr/>
                      <a:graphic xmlns:a="http://schemas.openxmlformats.org/drawingml/2006/main">
                        <a:graphicData uri="http://schemas.microsoft.com/office/word/2010/wordprocessingGroup">
                          <wpg:wgp>
                            <wpg:cNvGrpSpPr/>
                            <wpg:grpSpPr>
                              <a:xfrm>
                                <a:off x="0" y="0"/>
                                <a:ext cx="3088800" cy="525240"/>
                                <a:chOff x="0" y="0"/>
                                <a:chExt cx="3088800" cy="525240"/>
                              </a:xfrm>
                            </wpg:grpSpPr>
                            <wps:wsp>
                              <wps:cNvPr id="42" name="矩形 42"/>
                              <wps:cNvSpPr/>
                              <wps:spPr>
                                <a:xfrm>
                                  <a:off x="0" y="0"/>
                                  <a:ext cx="3088800" cy="440640"/>
                                </a:xfrm>
                                <a:prstGeom prst="rect">
                                  <a:avLst/>
                                </a:prstGeom>
                                <a:solidFill>
                                  <a:srgbClr val="D8D8D8"/>
                                </a:solidFill>
                                <a:ln w="0">
                                  <a:noFill/>
                                </a:ln>
                              </wps:spPr>
                              <wps:bodyPr/>
                            </wps:wsp>
                            <wps:wsp>
                              <wps:cNvPr id="43" name="文本框 43"/>
                              <wps:cNvSpPr txBox="true"/>
                              <wps:spPr>
                                <a:xfrm>
                                  <a:off x="9360" y="103680"/>
                                  <a:ext cx="3008520" cy="421560"/>
                                </a:xfrm>
                                <a:prstGeom prst="rect">
                                  <a:avLst/>
                                </a:prstGeom>
                                <a:solidFill>
                                  <a:srgbClr val="AD002D"/>
                                </a:solidFill>
                                <a:ln w="25560">
                                  <a:solidFill>
                                    <a:srgbClr val="AF7621"/>
                                  </a:solidFill>
                                  <a:round/>
                                </a:ln>
                              </wps:spPr>
                              <wps:txb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2018年度部门决算☞决算报表</w:t>
                                    </w:r>
                                  </w:p>
                                  <w:p>
                                    <w:pPr>
                                      <w:overflowPunct w:val="0"/>
                                      <w:bidi w:val="0"/>
                                      <w:spacing w:beforeLines="0" w:beforeAutospacing="0" w:afterLines="0" w:afterAutospacing="0" w:line="240" w:lineRule="auto"/>
                                      <w:jc w:val="center"/>
                                    </w:pPr>
                                  </w:p>
                                </w:txbxContent>
                              </wps:txbx>
                              <wps:bodyPr wrap="square">
                                <a:noAutofit/>
                              </wps:bodyPr>
                            </wps:wsp>
                          </wpg:wgp>
                        </a:graphicData>
                      </a:graphic>
                    </wp:anchor>
                  </w:drawing>
                </mc:Choice>
                <mc:Fallback>
                  <w:pict>
                    <v:group id="组合 1065" o:spid="_x0000_s1026" o:spt="203" style="position:absolute;left:0pt;margin-left:-80.7pt;margin-top:-80.9pt;height:41.4pt;width:243.25pt;mso-position-vertical-relative:page;z-index:-503315456;mso-width-relative:page;mso-height-relative:page;" coordsize="3088800,525240" o:gfxdata="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D3VJ1s2wAA&#10;AA0BAAAPAAAAAAAAAAEAIAAAADgAAABkcnMvZG93bnJldi54bWxQSwECFAAUAAAACACHTuJAAWSl&#10;RncCAAA/BgAADgAAAAAAAAABACAAAABAAQAAZHJzL2Uyb0RvYy54bWxQSwUGAAAAAAYABgBZAQAA&#10;KQYAAAAA&#10;">
                      <o:lock v:ext="edit" aspectratio="f"/>
                      <v:rect id="_x0000_s1026" o:spid="_x0000_s1026" o:spt="1" style="position:absolute;left:0;top:0;height:440640;width:3088800;" fillcolor="#D8D8D8" filled="t" stroked="f" coordsize="21600,21600" o:gfxdata="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ON/qb0AAADbAAAADwAAAAAAAAABACAAAAA4AAAAZHJzL2Rvd25yZXYu&#10;eG1sUEsBAhQAFAAAAAgAh07iQDMvBZ47AAAAOQAAABAAAAAAAAAAAQAgAAAAIgEAAGRycy9zaGFw&#10;ZXhtbC54bWxQSwUGAAAAAAYABgBbAQAAzAMAAAAA&#10;">
                        <v:fill on="t" focussize="0,0"/>
                        <v:stroke on="f" weight="0pt"/>
                        <v:imagedata o:title=""/>
                        <o:lock v:ext="edit" aspectratio="f"/>
                      </v:rect>
                      <v:shape id="_x0000_s1026" o:spid="_x0000_s1026" o:spt="202" type="#_x0000_t202" style="position:absolute;left:9360;top:103680;height:421560;width:3008520;" fillcolor="#AD002D" filled="t" stroked="t" coordsize="21600,21600" o:gfxdata="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DVp9a+AAAA2wAAAA8AAAAAAAAAAQAgAAAAOAAAAGRycy9kb3ducmV2&#10;LnhtbFBLAQIUABQAAAAIAIdO4kAzLwWeOwAAADkAAAAQAAAAAAAAAAEAIAAAACMBAABkcnMvc2hh&#10;cGV4bWwueG1sUEsFBgAAAAAGAAYAWwEAAM0DAAAAAA==&#10;">
                        <v:fill on="t" focussize="0,0"/>
                        <v:stroke weight="2.01259842519685pt" color="#AF7621" joinstyle="round"/>
                        <v:imagedata o:title=""/>
                        <o:lock v:ext="edit" aspectratio="f"/>
                        <v:textbo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2018年度部门决算☞决算报表</w:t>
                              </w:r>
                            </w:p>
                            <w:p>
                              <w:pPr>
                                <w:overflowPunct w:val="0"/>
                                <w:bidi w:val="0"/>
                                <w:spacing w:beforeLines="0" w:beforeAutospacing="0" w:afterLines="0" w:afterAutospacing="0" w:line="240" w:lineRule="auto"/>
                                <w:jc w:val="center"/>
                              </w:pPr>
                            </w:p>
                          </w:txbxContent>
                        </v:textbox>
                      </v:shape>
                    </v:group>
                  </w:pict>
                </mc:Fallback>
              </mc:AlternateContent>
            </w:r>
            <w:r>
              <w:rPr>
                <w:rFonts w:ascii="黑体" w:hAnsi="黑体" w:eastAsia="黑体" w:cs="黑体"/>
                <w:color w:val="000000"/>
                <w:kern w:val="0"/>
                <w:sz w:val="40"/>
                <w:szCs w:val="40"/>
              </w:rPr>
              <w:t>款支出决算表</w:t>
            </w:r>
          </w:p>
        </w:tc>
      </w:tr>
      <w:tr>
        <w:tblPrEx>
          <w:tblCellMar>
            <w:top w:w="15" w:type="dxa"/>
            <w:left w:w="15" w:type="dxa"/>
            <w:bottom w:w="0" w:type="dxa"/>
            <w:right w:w="15" w:type="dxa"/>
          </w:tblCellMar>
        </w:tblPrEx>
        <w:trPr>
          <w:trHeight w:val="335" w:hRule="atLeast"/>
        </w:trPr>
        <w:tc>
          <w:tcPr>
            <w:tcW w:w="441" w:type="dxa"/>
            <w:vAlign w:val="center"/>
          </w:tcPr>
          <w:p>
            <w:pPr>
              <w:pStyle w:val="4"/>
              <w:widowControl w:val="0"/>
              <w:bidi w:val="0"/>
              <w:spacing w:beforeLines="0" w:beforeAutospacing="0" w:after="0" w:afterAutospacing="0" w:line="240" w:lineRule="auto"/>
              <w:rPr>
                <w:rFonts w:ascii="Arial" w:hAnsi="Arial" w:cs="Arial"/>
                <w:color w:val="000000"/>
                <w:sz w:val="22"/>
                <w:szCs w:val="22"/>
              </w:rPr>
            </w:pPr>
          </w:p>
        </w:tc>
        <w:tc>
          <w:tcPr>
            <w:tcW w:w="209" w:type="dxa"/>
            <w:vAlign w:val="center"/>
          </w:tcPr>
          <w:p>
            <w:pPr>
              <w:pStyle w:val="4"/>
              <w:widowControl w:val="0"/>
              <w:bidi w:val="0"/>
              <w:spacing w:beforeLines="0" w:beforeAutospacing="0" w:after="0" w:afterAutospacing="0" w:line="240" w:lineRule="auto"/>
              <w:rPr>
                <w:rFonts w:ascii="Arial" w:hAnsi="Arial" w:cs="Arial"/>
                <w:color w:val="000000"/>
                <w:sz w:val="22"/>
                <w:szCs w:val="22"/>
              </w:rPr>
            </w:pPr>
          </w:p>
        </w:tc>
        <w:tc>
          <w:tcPr>
            <w:tcW w:w="503" w:type="dxa"/>
            <w:vAlign w:val="center"/>
          </w:tcPr>
          <w:p>
            <w:pPr>
              <w:pStyle w:val="4"/>
              <w:widowControl w:val="0"/>
              <w:bidi w:val="0"/>
              <w:spacing w:beforeLines="0" w:beforeAutospacing="0" w:after="0" w:afterAutospacing="0" w:line="240" w:lineRule="auto"/>
              <w:rPr>
                <w:rFonts w:ascii="Arial" w:hAnsi="Arial" w:cs="Arial"/>
                <w:color w:val="000000"/>
                <w:sz w:val="22"/>
                <w:szCs w:val="22"/>
              </w:rPr>
            </w:pPr>
          </w:p>
        </w:tc>
        <w:tc>
          <w:tcPr>
            <w:tcW w:w="1169" w:type="dxa"/>
            <w:gridSpan w:val="2"/>
            <w:vAlign w:val="center"/>
          </w:tcPr>
          <w:p>
            <w:pPr>
              <w:pStyle w:val="4"/>
              <w:widowControl w:val="0"/>
              <w:bidi w:val="0"/>
              <w:spacing w:beforeLines="0" w:beforeAutospacing="0" w:after="0" w:afterAutospacing="0" w:line="240" w:lineRule="auto"/>
              <w:rPr>
                <w:rFonts w:ascii="Arial" w:hAnsi="Arial" w:cs="Arial"/>
                <w:color w:val="000000"/>
                <w:sz w:val="22"/>
                <w:szCs w:val="22"/>
              </w:rPr>
            </w:pPr>
          </w:p>
        </w:tc>
        <w:tc>
          <w:tcPr>
            <w:tcW w:w="1035" w:type="dxa"/>
            <w:gridSpan w:val="2"/>
            <w:vAlign w:val="center"/>
          </w:tcPr>
          <w:p>
            <w:pPr>
              <w:pStyle w:val="4"/>
              <w:widowControl w:val="0"/>
              <w:bidi w:val="0"/>
              <w:spacing w:beforeLines="0" w:beforeAutospacing="0" w:after="0" w:afterAutospacing="0" w:line="240" w:lineRule="auto"/>
              <w:rPr>
                <w:rFonts w:ascii="Arial" w:hAnsi="Arial" w:cs="Arial"/>
                <w:color w:val="000000"/>
                <w:sz w:val="22"/>
                <w:szCs w:val="22"/>
              </w:rPr>
            </w:pPr>
          </w:p>
        </w:tc>
        <w:tc>
          <w:tcPr>
            <w:tcW w:w="2004" w:type="dxa"/>
            <w:gridSpan w:val="2"/>
            <w:vAlign w:val="center"/>
          </w:tcPr>
          <w:p>
            <w:pPr>
              <w:pStyle w:val="4"/>
              <w:widowControl w:val="0"/>
              <w:bidi w:val="0"/>
              <w:spacing w:beforeLines="0" w:beforeAutospacing="0" w:after="0" w:afterAutospacing="0" w:line="240" w:lineRule="auto"/>
              <w:rPr>
                <w:rFonts w:ascii="Arial" w:hAnsi="Arial" w:cs="Arial"/>
                <w:color w:val="000000"/>
                <w:sz w:val="22"/>
                <w:szCs w:val="22"/>
              </w:rPr>
            </w:pPr>
          </w:p>
        </w:tc>
        <w:tc>
          <w:tcPr>
            <w:tcW w:w="3438" w:type="dxa"/>
            <w:gridSpan w:val="2"/>
            <w:vAlign w:val="center"/>
          </w:tcPr>
          <w:p>
            <w:pPr>
              <w:pStyle w:val="4"/>
              <w:widowControl w:val="0"/>
              <w:bidi w:val="0"/>
              <w:spacing w:beforeLines="0" w:beforeAutospacing="0" w:after="0" w:afterAutospacing="0" w:line="240" w:lineRule="auto"/>
              <w:jc w:val="right"/>
              <w:textAlignment w:val="center"/>
              <w:rPr>
                <w:rFonts w:ascii="宋体" w:hAnsi="宋体" w:cs="宋体"/>
                <w:color w:val="000000"/>
                <w:sz w:val="22"/>
                <w:szCs w:val="22"/>
              </w:rPr>
            </w:pPr>
            <w:r>
              <w:rPr>
                <w:rFonts w:ascii="宋体" w:hAnsi="宋体" w:cs="宋体"/>
                <w:color w:val="000000"/>
                <w:kern w:val="0"/>
                <w:sz w:val="22"/>
                <w:szCs w:val="22"/>
              </w:rPr>
              <w:t>公开09表</w:t>
            </w:r>
          </w:p>
        </w:tc>
      </w:tr>
      <w:tr>
        <w:tblPrEx>
          <w:tblCellMar>
            <w:top w:w="15" w:type="dxa"/>
            <w:left w:w="15" w:type="dxa"/>
            <w:bottom w:w="0" w:type="dxa"/>
            <w:right w:w="15" w:type="dxa"/>
          </w:tblCellMar>
        </w:tblPrEx>
        <w:trPr>
          <w:trHeight w:val="335" w:hRule="atLeast"/>
        </w:trPr>
        <w:tc>
          <w:tcPr>
            <w:tcW w:w="3357" w:type="dxa"/>
            <w:gridSpan w:val="7"/>
            <w:vAlign w:val="center"/>
          </w:tcPr>
          <w:p>
            <w:pPr>
              <w:pStyle w:val="4"/>
              <w:widowControl w:val="0"/>
              <w:bidi w:val="0"/>
              <w:spacing w:beforeLines="0" w:beforeAutospacing="0" w:after="0" w:afterAutospacing="0" w:line="240" w:lineRule="auto"/>
              <w:jc w:val="left"/>
              <w:textAlignment w:val="center"/>
              <w:rPr>
                <w:rFonts w:ascii="宋体" w:hAnsi="宋体" w:cs="宋体"/>
                <w:color w:val="000000"/>
                <w:sz w:val="22"/>
                <w:szCs w:val="22"/>
              </w:rPr>
            </w:pPr>
            <w:r>
              <w:rPr>
                <w:rFonts w:ascii="宋体" w:hAnsi="宋体" w:cs="宋体"/>
                <w:color w:val="000000"/>
                <w:kern w:val="0"/>
                <w:sz w:val="22"/>
                <w:szCs w:val="22"/>
              </w:rPr>
              <w:t>编制单位：</w:t>
            </w:r>
            <w:r>
              <w:rPr>
                <w:rFonts w:ascii="宋体" w:hAnsi="宋体" w:cs="宋体"/>
                <w:color w:val="000000"/>
                <w:kern w:val="0"/>
                <w:sz w:val="20"/>
                <w:szCs w:val="20"/>
              </w:rPr>
              <w:t>唐山市工商行政管理局</w:t>
            </w:r>
          </w:p>
        </w:tc>
        <w:tc>
          <w:tcPr>
            <w:tcW w:w="2004" w:type="dxa"/>
            <w:gridSpan w:val="2"/>
            <w:vAlign w:val="center"/>
          </w:tcPr>
          <w:p>
            <w:pPr>
              <w:pStyle w:val="4"/>
              <w:widowControl w:val="0"/>
              <w:bidi w:val="0"/>
              <w:spacing w:beforeLines="0" w:beforeAutospacing="0" w:after="0" w:afterAutospacing="0" w:line="240" w:lineRule="auto"/>
              <w:rPr>
                <w:rFonts w:ascii="Arial" w:hAnsi="Arial" w:cs="Arial"/>
                <w:color w:val="000000"/>
                <w:sz w:val="22"/>
                <w:szCs w:val="22"/>
              </w:rPr>
            </w:pPr>
          </w:p>
        </w:tc>
        <w:tc>
          <w:tcPr>
            <w:tcW w:w="3438" w:type="dxa"/>
            <w:gridSpan w:val="2"/>
            <w:vAlign w:val="center"/>
          </w:tcPr>
          <w:p>
            <w:pPr>
              <w:pStyle w:val="4"/>
              <w:widowControl w:val="0"/>
              <w:bidi w:val="0"/>
              <w:spacing w:beforeLines="0" w:beforeAutospacing="0" w:after="0" w:afterAutospacing="0" w:line="240" w:lineRule="auto"/>
              <w:jc w:val="right"/>
              <w:textAlignment w:val="center"/>
              <w:rPr>
                <w:rFonts w:ascii="宋体" w:hAnsi="宋体" w:cs="宋体"/>
                <w:color w:val="000000"/>
                <w:sz w:val="22"/>
                <w:szCs w:val="22"/>
              </w:rPr>
            </w:pPr>
            <w:r>
              <w:rPr>
                <w:rFonts w:ascii="宋体" w:hAnsi="宋体" w:cs="宋体"/>
                <w:color w:val="000000"/>
                <w:kern w:val="0"/>
                <w:sz w:val="22"/>
                <w:szCs w:val="22"/>
              </w:rPr>
              <w:t>金额单位：万元</w:t>
            </w:r>
          </w:p>
        </w:tc>
      </w:tr>
      <w:tr>
        <w:tblPrEx>
          <w:tblCellMar>
            <w:top w:w="15" w:type="dxa"/>
            <w:left w:w="15" w:type="dxa"/>
            <w:bottom w:w="0" w:type="dxa"/>
            <w:right w:w="15" w:type="dxa"/>
          </w:tblCellMar>
        </w:tblPrEx>
        <w:trPr>
          <w:trHeight w:val="358" w:hRule="atLeast"/>
        </w:trPr>
        <w:tc>
          <w:tcPr>
            <w:tcW w:w="3104" w:type="dxa"/>
            <w:gridSpan w:val="6"/>
            <w:tcBorders>
              <w:top w:val="single" w:color="000000" w:sz="4" w:space="0"/>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 w:val="22"/>
                <w:szCs w:val="22"/>
              </w:rPr>
            </w:pPr>
            <w:r>
              <w:rPr>
                <w:rFonts w:ascii="宋体" w:hAnsi="宋体" w:cs="宋体"/>
                <w:color w:val="000000"/>
                <w:kern w:val="0"/>
                <w:sz w:val="22"/>
                <w:szCs w:val="22"/>
              </w:rPr>
              <w:t>科目</w:t>
            </w:r>
          </w:p>
        </w:tc>
        <w:tc>
          <w:tcPr>
            <w:tcW w:w="5695" w:type="dxa"/>
            <w:gridSpan w:val="5"/>
            <w:tcBorders>
              <w:top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 w:val="22"/>
                <w:szCs w:val="22"/>
              </w:rPr>
            </w:pPr>
            <w:r>
              <w:rPr>
                <w:rFonts w:ascii="宋体" w:hAnsi="宋体" w:cs="宋体"/>
                <w:color w:val="000000"/>
                <w:kern w:val="0"/>
                <w:sz w:val="22"/>
                <w:szCs w:val="22"/>
              </w:rPr>
              <w:t>本年支出</w:t>
            </w:r>
          </w:p>
        </w:tc>
      </w:tr>
      <w:tr>
        <w:tblPrEx>
          <w:tblCellMar>
            <w:top w:w="15" w:type="dxa"/>
            <w:left w:w="15" w:type="dxa"/>
            <w:bottom w:w="0" w:type="dxa"/>
            <w:right w:w="15" w:type="dxa"/>
          </w:tblCellMar>
        </w:tblPrEx>
        <w:trPr>
          <w:trHeight w:val="826" w:hRule="atLeast"/>
        </w:trPr>
        <w:tc>
          <w:tcPr>
            <w:tcW w:w="1428"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 w:val="22"/>
                <w:szCs w:val="22"/>
              </w:rPr>
            </w:pPr>
            <w:r>
              <w:rPr>
                <w:rFonts w:ascii="宋体" w:hAnsi="宋体" w:cs="宋体"/>
                <w:color w:val="000000"/>
                <w:kern w:val="0"/>
                <w:sz w:val="22"/>
                <w:szCs w:val="22"/>
              </w:rPr>
              <w:t>功能分类科目编码</w:t>
            </w:r>
          </w:p>
        </w:tc>
        <w:tc>
          <w:tcPr>
            <w:tcW w:w="16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 w:val="22"/>
                <w:szCs w:val="22"/>
              </w:rPr>
            </w:pPr>
            <w:r>
              <w:rPr>
                <w:rFonts w:ascii="宋体" w:hAnsi="宋体" w:cs="宋体"/>
                <w:color w:val="000000"/>
                <w:kern w:val="0"/>
                <w:sz w:val="22"/>
                <w:szCs w:val="22"/>
              </w:rPr>
              <w:t>科目名称</w:t>
            </w:r>
          </w:p>
        </w:tc>
        <w:tc>
          <w:tcPr>
            <w:tcW w:w="1898"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 w:val="22"/>
                <w:szCs w:val="22"/>
              </w:rPr>
            </w:pPr>
            <w:r>
              <w:rPr>
                <w:rFonts w:ascii="宋体" w:hAnsi="宋体" w:cs="宋体"/>
                <w:color w:val="000000"/>
                <w:kern w:val="0"/>
                <w:sz w:val="22"/>
                <w:szCs w:val="22"/>
              </w:rPr>
              <w:t>小计</w:t>
            </w:r>
          </w:p>
        </w:tc>
        <w:tc>
          <w:tcPr>
            <w:tcW w:w="1898"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 w:val="22"/>
                <w:szCs w:val="22"/>
              </w:rPr>
            </w:pPr>
            <w:r>
              <w:rPr>
                <w:rFonts w:ascii="宋体" w:hAnsi="宋体" w:cs="宋体"/>
                <w:color w:val="000000"/>
                <w:kern w:val="0"/>
                <w:sz w:val="22"/>
                <w:szCs w:val="22"/>
              </w:rPr>
              <w:t>基本支出</w:t>
            </w:r>
          </w:p>
        </w:tc>
        <w:tc>
          <w:tcPr>
            <w:tcW w:w="189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 w:val="22"/>
                <w:szCs w:val="22"/>
              </w:rPr>
            </w:pPr>
            <w:r>
              <w:rPr>
                <w:rFonts w:ascii="宋体" w:hAnsi="宋体" w:cs="宋体"/>
                <w:color w:val="000000"/>
                <w:kern w:val="0"/>
                <w:sz w:val="22"/>
                <w:szCs w:val="22"/>
              </w:rPr>
              <w:t>项目支出</w:t>
            </w:r>
          </w:p>
        </w:tc>
      </w:tr>
      <w:tr>
        <w:tblPrEx>
          <w:tblCellMar>
            <w:top w:w="15" w:type="dxa"/>
            <w:left w:w="15" w:type="dxa"/>
            <w:bottom w:w="0" w:type="dxa"/>
            <w:right w:w="15" w:type="dxa"/>
          </w:tblCellMar>
        </w:tblPrEx>
        <w:trPr>
          <w:trHeight w:val="358" w:hRule="atLeast"/>
        </w:trPr>
        <w:tc>
          <w:tcPr>
            <w:tcW w:w="3104" w:type="dxa"/>
            <w:gridSpan w:val="6"/>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 w:val="22"/>
                <w:szCs w:val="22"/>
              </w:rPr>
            </w:pPr>
            <w:r>
              <w:rPr>
                <w:rFonts w:ascii="宋体" w:hAnsi="宋体" w:cs="宋体"/>
                <w:color w:val="000000"/>
                <w:kern w:val="0"/>
                <w:sz w:val="22"/>
                <w:szCs w:val="22"/>
              </w:rPr>
              <w:t>栏次</w:t>
            </w:r>
          </w:p>
        </w:tc>
        <w:tc>
          <w:tcPr>
            <w:tcW w:w="1898"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 w:val="22"/>
                <w:szCs w:val="22"/>
              </w:rPr>
            </w:pPr>
            <w:r>
              <w:rPr>
                <w:rFonts w:ascii="宋体" w:hAnsi="宋体" w:cs="宋体"/>
                <w:color w:val="000000"/>
                <w:kern w:val="0"/>
                <w:sz w:val="22"/>
                <w:szCs w:val="22"/>
              </w:rPr>
              <w:t>1</w:t>
            </w:r>
          </w:p>
        </w:tc>
        <w:tc>
          <w:tcPr>
            <w:tcW w:w="1898"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 w:val="22"/>
                <w:szCs w:val="22"/>
              </w:rPr>
            </w:pPr>
            <w:r>
              <w:rPr>
                <w:rFonts w:ascii="宋体" w:hAnsi="宋体" w:cs="宋体"/>
                <w:color w:val="000000"/>
                <w:kern w:val="0"/>
                <w:sz w:val="22"/>
                <w:szCs w:val="22"/>
              </w:rPr>
              <w:t>2</w:t>
            </w:r>
          </w:p>
        </w:tc>
        <w:tc>
          <w:tcPr>
            <w:tcW w:w="189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 w:val="22"/>
                <w:szCs w:val="22"/>
              </w:rPr>
            </w:pPr>
            <w:r>
              <w:rPr>
                <w:rFonts w:ascii="宋体" w:hAnsi="宋体" w:cs="宋体"/>
                <w:color w:val="000000"/>
                <w:kern w:val="0"/>
                <w:sz w:val="22"/>
                <w:szCs w:val="22"/>
              </w:rPr>
              <w:t>3</w:t>
            </w:r>
          </w:p>
        </w:tc>
      </w:tr>
      <w:tr>
        <w:tblPrEx>
          <w:tblCellMar>
            <w:top w:w="15" w:type="dxa"/>
            <w:left w:w="15" w:type="dxa"/>
            <w:bottom w:w="0" w:type="dxa"/>
            <w:right w:w="15" w:type="dxa"/>
          </w:tblCellMar>
        </w:tblPrEx>
        <w:trPr>
          <w:trHeight w:val="358" w:hRule="atLeast"/>
        </w:trPr>
        <w:tc>
          <w:tcPr>
            <w:tcW w:w="3104" w:type="dxa"/>
            <w:gridSpan w:val="6"/>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center"/>
              <w:textAlignment w:val="center"/>
              <w:rPr>
                <w:rFonts w:ascii="宋体" w:hAnsi="宋体" w:cs="宋体"/>
                <w:color w:val="000000"/>
                <w:sz w:val="22"/>
                <w:szCs w:val="22"/>
              </w:rPr>
            </w:pPr>
            <w:r>
              <w:rPr>
                <w:rFonts w:ascii="宋体" w:hAnsi="宋体" w:cs="宋体"/>
                <w:color w:val="000000"/>
                <w:kern w:val="0"/>
                <w:sz w:val="22"/>
                <w:szCs w:val="22"/>
              </w:rPr>
              <w:t>合计</w:t>
            </w:r>
          </w:p>
        </w:tc>
        <w:tc>
          <w:tcPr>
            <w:tcW w:w="1898"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 w:val="22"/>
                <w:szCs w:val="22"/>
              </w:rPr>
            </w:pPr>
          </w:p>
        </w:tc>
        <w:tc>
          <w:tcPr>
            <w:tcW w:w="1898"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 w:val="22"/>
                <w:szCs w:val="22"/>
              </w:rPr>
            </w:pPr>
          </w:p>
        </w:tc>
        <w:tc>
          <w:tcPr>
            <w:tcW w:w="189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 w:val="22"/>
                <w:szCs w:val="22"/>
              </w:rPr>
            </w:pPr>
          </w:p>
        </w:tc>
      </w:tr>
      <w:tr>
        <w:tblPrEx>
          <w:tblCellMar>
            <w:top w:w="15" w:type="dxa"/>
            <w:left w:w="15" w:type="dxa"/>
            <w:bottom w:w="0" w:type="dxa"/>
            <w:right w:w="15" w:type="dxa"/>
          </w:tblCellMar>
        </w:tblPrEx>
        <w:trPr>
          <w:trHeight w:val="346" w:hRule="atLeast"/>
        </w:trPr>
        <w:tc>
          <w:tcPr>
            <w:tcW w:w="1428"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 w:val="22"/>
                <w:szCs w:val="22"/>
              </w:rPr>
            </w:pPr>
          </w:p>
        </w:tc>
        <w:tc>
          <w:tcPr>
            <w:tcW w:w="16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 w:val="22"/>
                <w:szCs w:val="22"/>
              </w:rPr>
            </w:pPr>
          </w:p>
        </w:tc>
        <w:tc>
          <w:tcPr>
            <w:tcW w:w="1898"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 w:val="22"/>
                <w:szCs w:val="22"/>
              </w:rPr>
            </w:pPr>
          </w:p>
        </w:tc>
        <w:tc>
          <w:tcPr>
            <w:tcW w:w="1898"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 w:val="22"/>
                <w:szCs w:val="22"/>
              </w:rPr>
            </w:pPr>
          </w:p>
        </w:tc>
        <w:tc>
          <w:tcPr>
            <w:tcW w:w="189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 w:val="22"/>
                <w:szCs w:val="22"/>
              </w:rPr>
            </w:pPr>
          </w:p>
        </w:tc>
      </w:tr>
      <w:tr>
        <w:tblPrEx>
          <w:tblCellMar>
            <w:top w:w="15" w:type="dxa"/>
            <w:left w:w="15" w:type="dxa"/>
            <w:bottom w:w="0" w:type="dxa"/>
            <w:right w:w="15" w:type="dxa"/>
          </w:tblCellMar>
        </w:tblPrEx>
        <w:trPr>
          <w:trHeight w:val="346" w:hRule="atLeast"/>
        </w:trPr>
        <w:tc>
          <w:tcPr>
            <w:tcW w:w="1428"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 w:val="22"/>
                <w:szCs w:val="22"/>
              </w:rPr>
            </w:pPr>
          </w:p>
        </w:tc>
        <w:tc>
          <w:tcPr>
            <w:tcW w:w="16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 w:val="22"/>
                <w:szCs w:val="22"/>
              </w:rPr>
            </w:pPr>
          </w:p>
        </w:tc>
        <w:tc>
          <w:tcPr>
            <w:tcW w:w="1898"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 w:val="22"/>
                <w:szCs w:val="22"/>
              </w:rPr>
            </w:pPr>
          </w:p>
        </w:tc>
        <w:tc>
          <w:tcPr>
            <w:tcW w:w="1898"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 w:val="22"/>
                <w:szCs w:val="22"/>
              </w:rPr>
            </w:pPr>
          </w:p>
        </w:tc>
        <w:tc>
          <w:tcPr>
            <w:tcW w:w="189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 w:val="22"/>
                <w:szCs w:val="22"/>
              </w:rPr>
            </w:pPr>
          </w:p>
        </w:tc>
      </w:tr>
      <w:tr>
        <w:tblPrEx>
          <w:tblCellMar>
            <w:top w:w="15" w:type="dxa"/>
            <w:left w:w="15" w:type="dxa"/>
            <w:bottom w:w="0" w:type="dxa"/>
            <w:right w:w="15" w:type="dxa"/>
          </w:tblCellMar>
        </w:tblPrEx>
        <w:trPr>
          <w:trHeight w:val="346" w:hRule="atLeast"/>
        </w:trPr>
        <w:tc>
          <w:tcPr>
            <w:tcW w:w="1428"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 w:val="22"/>
                <w:szCs w:val="22"/>
              </w:rPr>
            </w:pPr>
          </w:p>
        </w:tc>
        <w:tc>
          <w:tcPr>
            <w:tcW w:w="16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 w:val="22"/>
                <w:szCs w:val="22"/>
              </w:rPr>
            </w:pPr>
          </w:p>
        </w:tc>
        <w:tc>
          <w:tcPr>
            <w:tcW w:w="1898"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 w:val="22"/>
                <w:szCs w:val="22"/>
              </w:rPr>
            </w:pPr>
          </w:p>
        </w:tc>
        <w:tc>
          <w:tcPr>
            <w:tcW w:w="1898"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 w:val="22"/>
                <w:szCs w:val="22"/>
              </w:rPr>
            </w:pPr>
          </w:p>
        </w:tc>
        <w:tc>
          <w:tcPr>
            <w:tcW w:w="189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 w:val="22"/>
                <w:szCs w:val="22"/>
              </w:rPr>
            </w:pPr>
          </w:p>
        </w:tc>
      </w:tr>
      <w:tr>
        <w:tblPrEx>
          <w:tblCellMar>
            <w:top w:w="15" w:type="dxa"/>
            <w:left w:w="15" w:type="dxa"/>
            <w:bottom w:w="0" w:type="dxa"/>
            <w:right w:w="15" w:type="dxa"/>
          </w:tblCellMar>
        </w:tblPrEx>
        <w:trPr>
          <w:trHeight w:val="346" w:hRule="atLeast"/>
        </w:trPr>
        <w:tc>
          <w:tcPr>
            <w:tcW w:w="1428"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 w:val="22"/>
                <w:szCs w:val="22"/>
              </w:rPr>
            </w:pPr>
          </w:p>
        </w:tc>
        <w:tc>
          <w:tcPr>
            <w:tcW w:w="16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 w:val="22"/>
                <w:szCs w:val="22"/>
              </w:rPr>
            </w:pPr>
          </w:p>
        </w:tc>
        <w:tc>
          <w:tcPr>
            <w:tcW w:w="1898"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 w:val="22"/>
                <w:szCs w:val="22"/>
              </w:rPr>
            </w:pPr>
          </w:p>
        </w:tc>
        <w:tc>
          <w:tcPr>
            <w:tcW w:w="1898"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 w:val="22"/>
                <w:szCs w:val="22"/>
              </w:rPr>
            </w:pPr>
          </w:p>
        </w:tc>
        <w:tc>
          <w:tcPr>
            <w:tcW w:w="189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 w:val="22"/>
                <w:szCs w:val="22"/>
              </w:rPr>
            </w:pPr>
          </w:p>
        </w:tc>
      </w:tr>
      <w:tr>
        <w:tblPrEx>
          <w:tblCellMar>
            <w:top w:w="15" w:type="dxa"/>
            <w:left w:w="15" w:type="dxa"/>
            <w:bottom w:w="0" w:type="dxa"/>
            <w:right w:w="15" w:type="dxa"/>
          </w:tblCellMar>
        </w:tblPrEx>
        <w:trPr>
          <w:trHeight w:val="346" w:hRule="atLeast"/>
        </w:trPr>
        <w:tc>
          <w:tcPr>
            <w:tcW w:w="1428"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 w:val="22"/>
                <w:szCs w:val="22"/>
              </w:rPr>
            </w:pPr>
          </w:p>
        </w:tc>
        <w:tc>
          <w:tcPr>
            <w:tcW w:w="16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 w:val="22"/>
                <w:szCs w:val="22"/>
              </w:rPr>
            </w:pPr>
          </w:p>
        </w:tc>
        <w:tc>
          <w:tcPr>
            <w:tcW w:w="1898"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 w:val="22"/>
                <w:szCs w:val="22"/>
              </w:rPr>
            </w:pPr>
          </w:p>
        </w:tc>
        <w:tc>
          <w:tcPr>
            <w:tcW w:w="1898"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 w:val="22"/>
                <w:szCs w:val="22"/>
              </w:rPr>
            </w:pPr>
          </w:p>
        </w:tc>
        <w:tc>
          <w:tcPr>
            <w:tcW w:w="189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 w:val="22"/>
                <w:szCs w:val="22"/>
              </w:rPr>
            </w:pPr>
          </w:p>
        </w:tc>
      </w:tr>
      <w:tr>
        <w:tblPrEx>
          <w:tblCellMar>
            <w:top w:w="15" w:type="dxa"/>
            <w:left w:w="15" w:type="dxa"/>
            <w:bottom w:w="0" w:type="dxa"/>
            <w:right w:w="15" w:type="dxa"/>
          </w:tblCellMar>
        </w:tblPrEx>
        <w:trPr>
          <w:trHeight w:val="346" w:hRule="atLeast"/>
        </w:trPr>
        <w:tc>
          <w:tcPr>
            <w:tcW w:w="1428" w:type="dxa"/>
            <w:gridSpan w:val="4"/>
            <w:tcBorders>
              <w:left w:val="single" w:color="000000" w:sz="4" w:space="0"/>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 w:val="22"/>
                <w:szCs w:val="22"/>
              </w:rPr>
            </w:pPr>
          </w:p>
        </w:tc>
        <w:tc>
          <w:tcPr>
            <w:tcW w:w="1676"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left"/>
              <w:rPr>
                <w:rFonts w:ascii="宋体" w:hAnsi="宋体" w:cs="宋体"/>
                <w:color w:val="000000"/>
                <w:sz w:val="22"/>
                <w:szCs w:val="22"/>
              </w:rPr>
            </w:pPr>
          </w:p>
        </w:tc>
        <w:tc>
          <w:tcPr>
            <w:tcW w:w="1898"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 w:val="22"/>
                <w:szCs w:val="22"/>
              </w:rPr>
            </w:pPr>
          </w:p>
        </w:tc>
        <w:tc>
          <w:tcPr>
            <w:tcW w:w="1898" w:type="dxa"/>
            <w:gridSpan w:val="2"/>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 w:val="22"/>
                <w:szCs w:val="22"/>
              </w:rPr>
            </w:pPr>
          </w:p>
        </w:tc>
        <w:tc>
          <w:tcPr>
            <w:tcW w:w="1899" w:type="dxa"/>
            <w:tcBorders>
              <w:bottom w:val="single" w:color="000000" w:sz="4" w:space="0"/>
              <w:right w:val="single" w:color="000000" w:sz="4" w:space="0"/>
            </w:tcBorders>
            <w:vAlign w:val="center"/>
          </w:tcPr>
          <w:p>
            <w:pPr>
              <w:pStyle w:val="4"/>
              <w:widowControl w:val="0"/>
              <w:bidi w:val="0"/>
              <w:spacing w:beforeLines="0" w:beforeAutospacing="0" w:after="0" w:afterAutospacing="0" w:line="240" w:lineRule="auto"/>
              <w:jc w:val="right"/>
              <w:rPr>
                <w:rFonts w:ascii="宋体" w:hAnsi="宋体" w:cs="宋体"/>
                <w:color w:val="000000"/>
                <w:sz w:val="22"/>
                <w:szCs w:val="22"/>
              </w:rPr>
            </w:pPr>
          </w:p>
        </w:tc>
      </w:tr>
      <w:tr>
        <w:tblPrEx>
          <w:tblCellMar>
            <w:top w:w="15" w:type="dxa"/>
            <w:left w:w="15" w:type="dxa"/>
            <w:bottom w:w="0" w:type="dxa"/>
            <w:right w:w="15" w:type="dxa"/>
          </w:tblCellMar>
        </w:tblPrEx>
        <w:trPr>
          <w:trHeight w:val="358" w:hRule="atLeast"/>
        </w:trPr>
        <w:tc>
          <w:tcPr>
            <w:tcW w:w="8799" w:type="dxa"/>
            <w:gridSpan w:val="11"/>
            <w:vAlign w:val="center"/>
          </w:tcPr>
          <w:p>
            <w:pPr>
              <w:pStyle w:val="4"/>
              <w:widowControl w:val="0"/>
              <w:bidi w:val="0"/>
              <w:spacing w:beforeLines="0" w:beforeAutospacing="0" w:after="0" w:afterAutospacing="0" w:line="240" w:lineRule="auto"/>
              <w:jc w:val="left"/>
              <w:textAlignment w:val="center"/>
              <w:rPr>
                <w:rFonts w:ascii="宋体" w:hAnsi="宋体" w:cs="宋体"/>
                <w:color w:val="000000"/>
                <w:sz w:val="22"/>
                <w:szCs w:val="22"/>
              </w:rPr>
            </w:pPr>
            <w:r>
              <w:rPr>
                <w:rFonts w:ascii="宋体" w:hAnsi="宋体" w:cs="宋体"/>
                <w:color w:val="000000"/>
                <w:kern w:val="0"/>
                <w:sz w:val="22"/>
                <w:szCs w:val="22"/>
              </w:rPr>
              <w:t>注：本表反映部门本年度国有资本经营预算财政拨款支出情况。</w:t>
            </w:r>
          </w:p>
        </w:tc>
      </w:tr>
    </w:tbl>
    <w:p>
      <w:pPr>
        <w:pStyle w:val="4"/>
        <w:widowControl/>
        <w:bidi w:val="0"/>
        <w:spacing w:beforeLines="0" w:beforeAutospacing="0" w:after="0" w:afterAutospacing="0" w:line="560" w:lineRule="exact"/>
        <w:jc w:val="left"/>
        <w:sectPr>
          <w:pgSz w:w="11906" w:h="16838"/>
          <w:pgMar w:top="2098" w:right="1474" w:bottom="1984" w:left="1588" w:header="0" w:footer="0" w:gutter="0"/>
          <w:pgNumType w:fmt="decimal"/>
          <w:cols w:space="720" w:num="1"/>
          <w:formProt w:val="0"/>
          <w:docGrid w:type="lines" w:linePitch="312" w:charSpace="43007"/>
        </w:sectPr>
      </w:pPr>
    </w:p>
    <w:tbl>
      <w:tblPr>
        <w:tblStyle w:val="2"/>
        <w:tblW w:w="8940" w:type="dxa"/>
        <w:tblInd w:w="15" w:type="dxa"/>
        <w:tblLayout w:type="fixed"/>
        <w:tblCellMar>
          <w:top w:w="15" w:type="dxa"/>
          <w:left w:w="15" w:type="dxa"/>
          <w:bottom w:w="0" w:type="dxa"/>
          <w:right w:w="15" w:type="dxa"/>
        </w:tblCellMar>
      </w:tblPr>
      <w:tblGrid>
        <w:gridCol w:w="1900"/>
        <w:gridCol w:w="1203"/>
        <w:gridCol w:w="791"/>
        <w:gridCol w:w="362"/>
        <w:gridCol w:w="911"/>
        <w:gridCol w:w="240"/>
        <w:gridCol w:w="1033"/>
        <w:gridCol w:w="120"/>
        <w:gridCol w:w="1154"/>
        <w:gridCol w:w="1225"/>
      </w:tblGrid>
      <w:tr>
        <w:tblPrEx>
          <w:tblCellMar>
            <w:top w:w="15" w:type="dxa"/>
            <w:left w:w="15" w:type="dxa"/>
            <w:bottom w:w="0" w:type="dxa"/>
            <w:right w:w="15" w:type="dxa"/>
          </w:tblCellMar>
        </w:tblPrEx>
        <w:trPr>
          <w:trHeight w:val="635" w:hRule="atLeast"/>
        </w:trPr>
        <w:tc>
          <w:tcPr>
            <w:tcW w:w="8939" w:type="dxa"/>
            <w:gridSpan w:val="10"/>
            <w:vAlign w:val="center"/>
          </w:tcPr>
          <w:p>
            <w:pPr>
              <w:pStyle w:val="4"/>
              <w:widowControl w:val="0"/>
              <w:bidi w:val="0"/>
              <w:snapToGrid w:val="0"/>
              <w:spacing w:beforeLines="0" w:beforeAutospacing="0" w:after="0" w:afterAutospacing="0" w:line="240" w:lineRule="auto"/>
              <w:jc w:val="center"/>
              <w:textAlignment w:val="center"/>
              <w:rPr>
                <w:rFonts w:ascii="黑体" w:hAnsi="黑体" w:eastAsia="黑体" w:cs="黑体"/>
                <w:color w:val="000000"/>
                <w:sz w:val="40"/>
                <w:szCs w:val="40"/>
              </w:rPr>
            </w:pPr>
            <w:r>
              <w:rPr>
                <w:rFonts w:ascii="黑体" w:hAnsi="黑体" w:eastAsia="黑体" w:cs="黑体"/>
                <w:color w:val="000000"/>
                <w:kern w:val="0"/>
                <w:sz w:val="40"/>
                <w:szCs w:val="40"/>
              </w:rPr>
              <w:t>政府采购</w:t>
            </w:r>
            <w:r>
              <mc:AlternateContent>
                <mc:Choice Requires="wpg">
                  <w:drawing>
                    <wp:anchor distT="0" distB="0" distL="114300" distR="114300" simplePos="0" relativeHeight="1024" behindDoc="1" locked="0" layoutInCell="1" allowOverlap="1">
                      <wp:simplePos x="0" y="0"/>
                      <wp:positionH relativeFrom="column">
                        <wp:posOffset>-1024890</wp:posOffset>
                      </wp:positionH>
                      <wp:positionV relativeFrom="page">
                        <wp:posOffset>-1027430</wp:posOffset>
                      </wp:positionV>
                      <wp:extent cx="3089275" cy="525780"/>
                      <wp:effectExtent l="0" t="0" r="0" b="0"/>
                      <wp:wrapNone/>
                      <wp:docPr id="44" name="组合 1068"/>
                      <wp:cNvGraphicFramePr/>
                      <a:graphic xmlns:a="http://schemas.openxmlformats.org/drawingml/2006/main">
                        <a:graphicData uri="http://schemas.microsoft.com/office/word/2010/wordprocessingGroup">
                          <wpg:wgp>
                            <wpg:cNvGrpSpPr/>
                            <wpg:grpSpPr>
                              <a:xfrm>
                                <a:off x="0" y="0"/>
                                <a:ext cx="3088800" cy="525240"/>
                                <a:chOff x="0" y="0"/>
                                <a:chExt cx="3088800" cy="525240"/>
                              </a:xfrm>
                            </wpg:grpSpPr>
                            <wps:wsp>
                              <wps:cNvPr id="45" name="矩形 45"/>
                              <wps:cNvSpPr/>
                              <wps:spPr>
                                <a:xfrm>
                                  <a:off x="0" y="0"/>
                                  <a:ext cx="3088800" cy="440640"/>
                                </a:xfrm>
                                <a:prstGeom prst="rect">
                                  <a:avLst/>
                                </a:prstGeom>
                                <a:solidFill>
                                  <a:srgbClr val="D8D8D8"/>
                                </a:solidFill>
                                <a:ln w="0">
                                  <a:noFill/>
                                </a:ln>
                              </wps:spPr>
                              <wps:bodyPr/>
                            </wps:wsp>
                            <wps:wsp>
                              <wps:cNvPr id="46" name="文本框 46"/>
                              <wps:cNvSpPr txBox="true"/>
                              <wps:spPr>
                                <a:xfrm>
                                  <a:off x="9360" y="103680"/>
                                  <a:ext cx="3008520" cy="421560"/>
                                </a:xfrm>
                                <a:prstGeom prst="rect">
                                  <a:avLst/>
                                </a:prstGeom>
                                <a:solidFill>
                                  <a:srgbClr val="AD002D"/>
                                </a:solidFill>
                                <a:ln w="25560">
                                  <a:solidFill>
                                    <a:srgbClr val="AF7621"/>
                                  </a:solidFill>
                                  <a:round/>
                                </a:ln>
                              </wps:spPr>
                              <wps:txb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2018年度部门决算☞决算报表</w:t>
                                    </w:r>
                                  </w:p>
                                  <w:p>
                                    <w:pPr>
                                      <w:overflowPunct w:val="0"/>
                                      <w:bidi w:val="0"/>
                                      <w:spacing w:beforeLines="0" w:beforeAutospacing="0" w:afterLines="0" w:afterAutospacing="0" w:line="240" w:lineRule="auto"/>
                                      <w:jc w:val="center"/>
                                    </w:pPr>
                                  </w:p>
                                </w:txbxContent>
                              </wps:txbx>
                              <wps:bodyPr wrap="square">
                                <a:noAutofit/>
                              </wps:bodyPr>
                            </wps:wsp>
                          </wpg:wgp>
                        </a:graphicData>
                      </a:graphic>
                    </wp:anchor>
                  </w:drawing>
                </mc:Choice>
                <mc:Fallback>
                  <w:pict>
                    <v:group id="组合 1068" o:spid="_x0000_s1026" o:spt="203" style="position:absolute;left:0pt;margin-left:-80.7pt;margin-top:-80.9pt;height:41.4pt;width:243.25pt;mso-position-vertical-relative:page;z-index:-503315456;mso-width-relative:page;mso-height-relative:page;" coordsize="3088800,525240" o:gfxdata="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91SdbNsA&#10;AAANAQAADwAAAAAAAAABACAAAAA4AAAAZHJzL2Rvd25yZXYueG1sUEsBAhQAFAAAAAgAh07iQJNj&#10;TL94AgAAPwYAAA4AAAAAAAAAAQAgAAAAQAEAAGRycy9lMm9Eb2MueG1sUEsFBgAAAAAGAAYAWQEA&#10;ACoGAAAAAA==&#10;">
                      <o:lock v:ext="edit" aspectratio="f"/>
                      <v:rect id="_x0000_s1026" o:spid="_x0000_s1026" o:spt="1" style="position:absolute;left:0;top:0;height:440640;width:3088800;" fillcolor="#D8D8D8" filled="t" stroked="f" coordsize="21600,21600" o:gfxdata="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wrn3b0AAADbAAAADwAAAAAAAAABACAAAAA4AAAAZHJzL2Rvd25yZXYu&#10;eG1sUEsBAhQAFAAAAAgAh07iQDMvBZ47AAAAOQAAABAAAAAAAAAAAQAgAAAAIgEAAGRycy9zaGFw&#10;ZXhtbC54bWxQSwUGAAAAAAYABgBbAQAAzAMAAAAA&#10;">
                        <v:fill on="t" focussize="0,0"/>
                        <v:stroke on="f" weight="0pt"/>
                        <v:imagedata o:title=""/>
                        <o:lock v:ext="edit" aspectratio="f"/>
                      </v:rect>
                      <v:shape id="_x0000_s1026" o:spid="_x0000_s1026" o:spt="202" type="#_x0000_t202" style="position:absolute;left:9360;top:103680;height:421560;width:3008520;" fillcolor="#AD002D" filled="t" stroked="t" coordsize="21600,21600" o:gfxdata="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KIETr0AAADbAAAADwAAAAAAAAABACAAAAA4AAAAZHJzL2Rvd25yZXYu&#10;eG1sUEsBAhQAFAAAAAgAh07iQDMvBZ47AAAAOQAAABAAAAAAAAAAAQAgAAAAIgEAAGRycy9zaGFw&#10;ZXhtbC54bWxQSwUGAAAAAAYABgBbAQAAzAMAAAAA&#10;">
                        <v:fill on="t" focussize="0,0"/>
                        <v:stroke weight="2.01259842519685pt" color="#AF7621" joinstyle="round"/>
                        <v:imagedata o:title=""/>
                        <o:lock v:ext="edit" aspectratio="f"/>
                        <v:textbo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2018年度部门决算☞决算报表</w:t>
                              </w:r>
                            </w:p>
                            <w:p>
                              <w:pPr>
                                <w:overflowPunct w:val="0"/>
                                <w:bidi w:val="0"/>
                                <w:spacing w:beforeLines="0" w:beforeAutospacing="0" w:afterLines="0" w:afterAutospacing="0" w:line="240" w:lineRule="auto"/>
                                <w:jc w:val="center"/>
                              </w:pPr>
                            </w:p>
                          </w:txbxContent>
                        </v:textbox>
                      </v:shape>
                    </v:group>
                  </w:pict>
                </mc:Fallback>
              </mc:AlternateContent>
            </w:r>
            <w:r>
              <w:rPr>
                <w:rFonts w:ascii="黑体" w:hAnsi="黑体" w:eastAsia="黑体" w:cs="黑体"/>
                <w:color w:val="000000"/>
                <w:kern w:val="0"/>
                <w:sz w:val="40"/>
                <w:szCs w:val="40"/>
              </w:rPr>
              <w:t>情况表</w:t>
            </w:r>
          </w:p>
        </w:tc>
      </w:tr>
      <w:tr>
        <w:tblPrEx>
          <w:tblCellMar>
            <w:top w:w="15" w:type="dxa"/>
            <w:left w:w="15" w:type="dxa"/>
            <w:bottom w:w="0" w:type="dxa"/>
            <w:right w:w="15" w:type="dxa"/>
          </w:tblCellMar>
        </w:tblPrEx>
        <w:trPr>
          <w:trHeight w:val="326" w:hRule="atLeast"/>
        </w:trPr>
        <w:tc>
          <w:tcPr>
            <w:tcW w:w="1900" w:type="dxa"/>
            <w:vAlign w:val="center"/>
          </w:tcPr>
          <w:p>
            <w:pPr>
              <w:pStyle w:val="4"/>
              <w:widowControl w:val="0"/>
              <w:bidi w:val="0"/>
              <w:snapToGrid w:val="0"/>
              <w:spacing w:beforeLines="0" w:beforeAutospacing="0" w:after="0" w:afterAutospacing="0" w:line="240" w:lineRule="auto"/>
              <w:rPr>
                <w:rFonts w:ascii="Arial" w:hAnsi="Arial" w:cs="Arial"/>
                <w:color w:val="000000"/>
                <w:szCs w:val="21"/>
              </w:rPr>
            </w:pPr>
          </w:p>
        </w:tc>
        <w:tc>
          <w:tcPr>
            <w:tcW w:w="1203" w:type="dxa"/>
            <w:vAlign w:val="center"/>
          </w:tcPr>
          <w:p>
            <w:pPr>
              <w:pStyle w:val="4"/>
              <w:widowControl w:val="0"/>
              <w:bidi w:val="0"/>
              <w:snapToGrid w:val="0"/>
              <w:spacing w:beforeLines="0" w:beforeAutospacing="0" w:after="0" w:afterAutospacing="0" w:line="240" w:lineRule="auto"/>
              <w:rPr>
                <w:rFonts w:ascii="Arial" w:hAnsi="Arial" w:cs="Arial"/>
                <w:color w:val="000000"/>
                <w:szCs w:val="21"/>
              </w:rPr>
            </w:pPr>
          </w:p>
        </w:tc>
        <w:tc>
          <w:tcPr>
            <w:tcW w:w="791" w:type="dxa"/>
            <w:vAlign w:val="center"/>
          </w:tcPr>
          <w:p>
            <w:pPr>
              <w:pStyle w:val="4"/>
              <w:widowControl w:val="0"/>
              <w:bidi w:val="0"/>
              <w:snapToGrid w:val="0"/>
              <w:spacing w:beforeLines="0" w:beforeAutospacing="0" w:after="0" w:afterAutospacing="0" w:line="240" w:lineRule="auto"/>
              <w:rPr>
                <w:rFonts w:ascii="Arial" w:hAnsi="Arial" w:cs="Arial"/>
                <w:color w:val="000000"/>
                <w:szCs w:val="21"/>
              </w:rPr>
            </w:pPr>
          </w:p>
        </w:tc>
        <w:tc>
          <w:tcPr>
            <w:tcW w:w="1273" w:type="dxa"/>
            <w:gridSpan w:val="2"/>
            <w:vAlign w:val="center"/>
          </w:tcPr>
          <w:p>
            <w:pPr>
              <w:pStyle w:val="4"/>
              <w:widowControl w:val="0"/>
              <w:bidi w:val="0"/>
              <w:snapToGrid w:val="0"/>
              <w:spacing w:beforeLines="0" w:beforeAutospacing="0" w:after="0" w:afterAutospacing="0" w:line="240" w:lineRule="auto"/>
              <w:rPr>
                <w:rFonts w:ascii="Arial" w:hAnsi="Arial" w:cs="Arial"/>
                <w:color w:val="000000"/>
                <w:szCs w:val="21"/>
              </w:rPr>
            </w:pPr>
          </w:p>
        </w:tc>
        <w:tc>
          <w:tcPr>
            <w:tcW w:w="1273" w:type="dxa"/>
            <w:gridSpan w:val="2"/>
            <w:vAlign w:val="center"/>
          </w:tcPr>
          <w:p>
            <w:pPr>
              <w:pStyle w:val="4"/>
              <w:widowControl w:val="0"/>
              <w:bidi w:val="0"/>
              <w:snapToGrid w:val="0"/>
              <w:spacing w:beforeLines="0" w:beforeAutospacing="0" w:after="0" w:afterAutospacing="0" w:line="240" w:lineRule="auto"/>
              <w:rPr>
                <w:rFonts w:ascii="Arial" w:hAnsi="Arial" w:cs="Arial"/>
                <w:color w:val="000000"/>
                <w:szCs w:val="21"/>
              </w:rPr>
            </w:pPr>
          </w:p>
        </w:tc>
        <w:tc>
          <w:tcPr>
            <w:tcW w:w="2499" w:type="dxa"/>
            <w:gridSpan w:val="3"/>
            <w:vAlign w:val="center"/>
          </w:tcPr>
          <w:p>
            <w:pPr>
              <w:pStyle w:val="4"/>
              <w:widowControl w:val="0"/>
              <w:bidi w:val="0"/>
              <w:snapToGrid w:val="0"/>
              <w:spacing w:beforeLines="0" w:beforeAutospacing="0" w:after="0" w:afterAutospacing="0" w:line="240" w:lineRule="auto"/>
              <w:jc w:val="right"/>
              <w:textAlignment w:val="center"/>
              <w:rPr>
                <w:rFonts w:ascii="宋体" w:hAnsi="宋体" w:cs="宋体"/>
                <w:color w:val="000000"/>
                <w:szCs w:val="21"/>
              </w:rPr>
            </w:pPr>
            <w:r>
              <w:rPr>
                <w:rFonts w:ascii="宋体" w:hAnsi="宋体" w:cs="宋体"/>
                <w:color w:val="000000"/>
                <w:kern w:val="0"/>
                <w:szCs w:val="21"/>
              </w:rPr>
              <w:t>公开10表</w:t>
            </w:r>
          </w:p>
        </w:tc>
      </w:tr>
      <w:tr>
        <w:tblPrEx>
          <w:tblCellMar>
            <w:top w:w="15" w:type="dxa"/>
            <w:left w:w="15" w:type="dxa"/>
            <w:bottom w:w="0" w:type="dxa"/>
            <w:right w:w="15" w:type="dxa"/>
          </w:tblCellMar>
        </w:tblPrEx>
        <w:trPr>
          <w:trHeight w:val="360" w:hRule="atLeast"/>
        </w:trPr>
        <w:tc>
          <w:tcPr>
            <w:tcW w:w="6440" w:type="dxa"/>
            <w:gridSpan w:val="7"/>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Cs w:val="21"/>
              </w:rPr>
            </w:pPr>
            <w:r>
              <w:rPr>
                <w:rFonts w:ascii="宋体" w:hAnsi="宋体" w:cs="宋体"/>
                <w:color w:val="000000"/>
                <w:kern w:val="0"/>
                <w:szCs w:val="21"/>
              </w:rPr>
              <w:t>编制单位：</w:t>
            </w:r>
            <w:r>
              <w:rPr>
                <w:rFonts w:ascii="宋体" w:hAnsi="宋体" w:cs="宋体"/>
                <w:color w:val="000000"/>
                <w:kern w:val="0"/>
                <w:sz w:val="20"/>
                <w:szCs w:val="20"/>
              </w:rPr>
              <w:t>唐山市工商行政管理局</w:t>
            </w:r>
          </w:p>
        </w:tc>
        <w:tc>
          <w:tcPr>
            <w:tcW w:w="2499" w:type="dxa"/>
            <w:gridSpan w:val="3"/>
            <w:vAlign w:val="center"/>
          </w:tcPr>
          <w:p>
            <w:pPr>
              <w:pStyle w:val="4"/>
              <w:widowControl w:val="0"/>
              <w:bidi w:val="0"/>
              <w:snapToGrid w:val="0"/>
              <w:spacing w:beforeLines="0" w:beforeAutospacing="0" w:after="0" w:afterAutospacing="0" w:line="240" w:lineRule="auto"/>
              <w:jc w:val="right"/>
              <w:textAlignment w:val="center"/>
              <w:rPr>
                <w:rFonts w:ascii="宋体" w:hAnsi="宋体" w:cs="宋体"/>
                <w:color w:val="000000"/>
                <w:szCs w:val="21"/>
              </w:rPr>
            </w:pPr>
            <w:r>
              <w:rPr>
                <w:rFonts w:ascii="宋体" w:hAnsi="宋体" w:cs="宋体"/>
                <w:color w:val="000000"/>
                <w:kern w:val="0"/>
                <w:szCs w:val="21"/>
              </w:rPr>
              <w:t>金额单位：万元</w:t>
            </w:r>
          </w:p>
        </w:tc>
      </w:tr>
      <w:tr>
        <w:tblPrEx>
          <w:tblCellMar>
            <w:top w:w="15" w:type="dxa"/>
            <w:left w:w="15" w:type="dxa"/>
            <w:bottom w:w="0" w:type="dxa"/>
            <w:right w:w="15" w:type="dxa"/>
          </w:tblCellMar>
        </w:tblPrEx>
        <w:trPr>
          <w:trHeight w:val="309" w:hRule="atLeast"/>
        </w:trPr>
        <w:tc>
          <w:tcPr>
            <w:tcW w:w="1900" w:type="dxa"/>
            <w:vMerge w:val="restart"/>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项目</w:t>
            </w:r>
          </w:p>
        </w:tc>
        <w:tc>
          <w:tcPr>
            <w:tcW w:w="7039" w:type="dxa"/>
            <w:gridSpan w:val="9"/>
            <w:tcBorders>
              <w:top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采购计划金额</w:t>
            </w:r>
          </w:p>
        </w:tc>
      </w:tr>
      <w:tr>
        <w:tblPrEx>
          <w:tblCellMar>
            <w:top w:w="15" w:type="dxa"/>
            <w:left w:w="15" w:type="dxa"/>
            <w:bottom w:w="0" w:type="dxa"/>
            <w:right w:w="15" w:type="dxa"/>
          </w:tblCellMar>
        </w:tblPrEx>
        <w:trPr>
          <w:trHeight w:val="398" w:hRule="atLeast"/>
        </w:trPr>
        <w:tc>
          <w:tcPr>
            <w:tcW w:w="1900" w:type="dxa"/>
            <w:vMerge w:val="continue"/>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rPr>
                <w:rFonts w:ascii="宋体" w:hAnsi="宋体" w:cs="宋体"/>
                <w:color w:val="000000"/>
                <w:szCs w:val="21"/>
              </w:rPr>
            </w:pPr>
          </w:p>
        </w:tc>
        <w:tc>
          <w:tcPr>
            <w:tcW w:w="1203" w:type="dxa"/>
            <w:vMerge w:val="restart"/>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总计</w:t>
            </w:r>
          </w:p>
        </w:tc>
        <w:tc>
          <w:tcPr>
            <w:tcW w:w="4611" w:type="dxa"/>
            <w:gridSpan w:val="7"/>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采购预算（财政性资金）</w:t>
            </w:r>
          </w:p>
        </w:tc>
        <w:tc>
          <w:tcPr>
            <w:tcW w:w="1225" w:type="dxa"/>
            <w:vMerge w:val="restart"/>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非财政性资金</w:t>
            </w:r>
          </w:p>
        </w:tc>
      </w:tr>
      <w:tr>
        <w:tblPrEx>
          <w:tblCellMar>
            <w:top w:w="15" w:type="dxa"/>
            <w:left w:w="15" w:type="dxa"/>
            <w:bottom w:w="0" w:type="dxa"/>
            <w:right w:w="15" w:type="dxa"/>
          </w:tblCellMar>
        </w:tblPrEx>
        <w:trPr>
          <w:trHeight w:val="473" w:hRule="atLeast"/>
        </w:trPr>
        <w:tc>
          <w:tcPr>
            <w:tcW w:w="1900" w:type="dxa"/>
            <w:vMerge w:val="continue"/>
            <w:tcBorders>
              <w:top w:val="single" w:color="000000" w:sz="4" w:space="0"/>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rPr>
                <w:rFonts w:ascii="宋体" w:hAnsi="宋体" w:cs="宋体"/>
                <w:color w:val="000000"/>
                <w:szCs w:val="21"/>
              </w:rPr>
            </w:pPr>
          </w:p>
        </w:tc>
        <w:tc>
          <w:tcPr>
            <w:tcW w:w="1203" w:type="dxa"/>
            <w:vMerge w:val="continue"/>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rPr>
                <w:rFonts w:ascii="宋体" w:hAnsi="宋体" w:cs="宋体"/>
                <w:color w:val="000000"/>
                <w:szCs w:val="21"/>
              </w:rPr>
            </w:pPr>
          </w:p>
        </w:tc>
        <w:tc>
          <w:tcPr>
            <w:tcW w:w="1153"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合计</w:t>
            </w:r>
          </w:p>
        </w:tc>
        <w:tc>
          <w:tcPr>
            <w:tcW w:w="1151"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一般公共预算</w:t>
            </w:r>
          </w:p>
        </w:tc>
        <w:tc>
          <w:tcPr>
            <w:tcW w:w="1153"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政府性基金预算</w:t>
            </w:r>
          </w:p>
        </w:tc>
        <w:tc>
          <w:tcPr>
            <w:tcW w:w="1154"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其他资金</w:t>
            </w:r>
          </w:p>
        </w:tc>
        <w:tc>
          <w:tcPr>
            <w:tcW w:w="1225" w:type="dxa"/>
            <w:vMerge w:val="continue"/>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rPr>
                <w:rFonts w:ascii="宋体" w:hAnsi="宋体" w:cs="宋体"/>
                <w:color w:val="000000"/>
                <w:szCs w:val="21"/>
              </w:rPr>
            </w:pPr>
          </w:p>
        </w:tc>
      </w:tr>
      <w:tr>
        <w:tblPrEx>
          <w:tblCellMar>
            <w:top w:w="15" w:type="dxa"/>
            <w:left w:w="15" w:type="dxa"/>
            <w:bottom w:w="0" w:type="dxa"/>
            <w:right w:w="15" w:type="dxa"/>
          </w:tblCellMar>
        </w:tblPrEx>
        <w:trPr>
          <w:trHeight w:val="335" w:hRule="atLeast"/>
        </w:trPr>
        <w:tc>
          <w:tcPr>
            <w:tcW w:w="1900"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栏次</w:t>
            </w:r>
          </w:p>
        </w:tc>
        <w:tc>
          <w:tcPr>
            <w:tcW w:w="1203"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1</w:t>
            </w:r>
          </w:p>
        </w:tc>
        <w:tc>
          <w:tcPr>
            <w:tcW w:w="1153"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2</w:t>
            </w:r>
          </w:p>
        </w:tc>
        <w:tc>
          <w:tcPr>
            <w:tcW w:w="1151"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3</w:t>
            </w:r>
          </w:p>
        </w:tc>
        <w:tc>
          <w:tcPr>
            <w:tcW w:w="1153"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4</w:t>
            </w:r>
          </w:p>
        </w:tc>
        <w:tc>
          <w:tcPr>
            <w:tcW w:w="1154"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5</w:t>
            </w:r>
          </w:p>
        </w:tc>
        <w:tc>
          <w:tcPr>
            <w:tcW w:w="1225"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6</w:t>
            </w:r>
          </w:p>
        </w:tc>
      </w:tr>
      <w:tr>
        <w:tblPrEx>
          <w:tblCellMar>
            <w:top w:w="15" w:type="dxa"/>
            <w:left w:w="15" w:type="dxa"/>
            <w:bottom w:w="0" w:type="dxa"/>
            <w:right w:w="15" w:type="dxa"/>
          </w:tblCellMar>
        </w:tblPrEx>
        <w:trPr>
          <w:trHeight w:val="350" w:hRule="atLeast"/>
        </w:trPr>
        <w:tc>
          <w:tcPr>
            <w:tcW w:w="1900"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合       计</w:t>
            </w:r>
          </w:p>
        </w:tc>
        <w:tc>
          <w:tcPr>
            <w:tcW w:w="1203"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120.55</w:t>
            </w:r>
          </w:p>
        </w:tc>
        <w:tc>
          <w:tcPr>
            <w:tcW w:w="1153"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120.55</w:t>
            </w:r>
          </w:p>
        </w:tc>
        <w:tc>
          <w:tcPr>
            <w:tcW w:w="1151"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115.97</w:t>
            </w:r>
          </w:p>
        </w:tc>
        <w:tc>
          <w:tcPr>
            <w:tcW w:w="1153"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c>
          <w:tcPr>
            <w:tcW w:w="1154"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4.57</w:t>
            </w:r>
          </w:p>
        </w:tc>
        <w:tc>
          <w:tcPr>
            <w:tcW w:w="1225"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r>
      <w:tr>
        <w:tblPrEx>
          <w:tblCellMar>
            <w:top w:w="15" w:type="dxa"/>
            <w:left w:w="15" w:type="dxa"/>
            <w:bottom w:w="0" w:type="dxa"/>
            <w:right w:w="15" w:type="dxa"/>
          </w:tblCellMar>
        </w:tblPrEx>
        <w:trPr>
          <w:trHeight w:val="350" w:hRule="atLeast"/>
        </w:trPr>
        <w:tc>
          <w:tcPr>
            <w:tcW w:w="1900"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货物</w:t>
            </w:r>
          </w:p>
        </w:tc>
        <w:tc>
          <w:tcPr>
            <w:tcW w:w="1203"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19.45</w:t>
            </w:r>
          </w:p>
        </w:tc>
        <w:tc>
          <w:tcPr>
            <w:tcW w:w="1153"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19.45</w:t>
            </w:r>
          </w:p>
        </w:tc>
        <w:tc>
          <w:tcPr>
            <w:tcW w:w="1151"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14.78</w:t>
            </w:r>
          </w:p>
        </w:tc>
        <w:tc>
          <w:tcPr>
            <w:tcW w:w="1153"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c>
          <w:tcPr>
            <w:tcW w:w="1154"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4.57</w:t>
            </w:r>
          </w:p>
        </w:tc>
        <w:tc>
          <w:tcPr>
            <w:tcW w:w="1225"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r>
      <w:tr>
        <w:tblPrEx>
          <w:tblCellMar>
            <w:top w:w="15" w:type="dxa"/>
            <w:left w:w="15" w:type="dxa"/>
            <w:bottom w:w="0" w:type="dxa"/>
            <w:right w:w="15" w:type="dxa"/>
          </w:tblCellMar>
        </w:tblPrEx>
        <w:trPr>
          <w:trHeight w:val="350" w:hRule="atLeast"/>
        </w:trPr>
        <w:tc>
          <w:tcPr>
            <w:tcW w:w="1900"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工程</w:t>
            </w:r>
          </w:p>
        </w:tc>
        <w:tc>
          <w:tcPr>
            <w:tcW w:w="1203"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c>
          <w:tcPr>
            <w:tcW w:w="1153"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c>
          <w:tcPr>
            <w:tcW w:w="1151"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c>
          <w:tcPr>
            <w:tcW w:w="1153"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c>
          <w:tcPr>
            <w:tcW w:w="1154"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c>
          <w:tcPr>
            <w:tcW w:w="1225"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r>
      <w:tr>
        <w:tblPrEx>
          <w:tblCellMar>
            <w:top w:w="15" w:type="dxa"/>
            <w:left w:w="15" w:type="dxa"/>
            <w:bottom w:w="0" w:type="dxa"/>
            <w:right w:w="15" w:type="dxa"/>
          </w:tblCellMar>
        </w:tblPrEx>
        <w:trPr>
          <w:trHeight w:val="350" w:hRule="atLeast"/>
        </w:trPr>
        <w:tc>
          <w:tcPr>
            <w:tcW w:w="1900"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服务</w:t>
            </w:r>
          </w:p>
        </w:tc>
        <w:tc>
          <w:tcPr>
            <w:tcW w:w="1203"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101.10</w:t>
            </w:r>
          </w:p>
        </w:tc>
        <w:tc>
          <w:tcPr>
            <w:tcW w:w="1153"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101.10</w:t>
            </w:r>
          </w:p>
        </w:tc>
        <w:tc>
          <w:tcPr>
            <w:tcW w:w="1151"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101.10</w:t>
            </w:r>
          </w:p>
        </w:tc>
        <w:tc>
          <w:tcPr>
            <w:tcW w:w="1153"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c>
          <w:tcPr>
            <w:tcW w:w="1154"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c>
          <w:tcPr>
            <w:tcW w:w="1225"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r>
      <w:tr>
        <w:tblPrEx>
          <w:tblCellMar>
            <w:top w:w="15" w:type="dxa"/>
            <w:left w:w="15" w:type="dxa"/>
            <w:bottom w:w="0" w:type="dxa"/>
            <w:right w:w="15" w:type="dxa"/>
          </w:tblCellMar>
        </w:tblPrEx>
        <w:trPr>
          <w:trHeight w:val="309" w:hRule="atLeast"/>
        </w:trPr>
        <w:tc>
          <w:tcPr>
            <w:tcW w:w="1900" w:type="dxa"/>
            <w:vMerge w:val="restart"/>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项目</w:t>
            </w:r>
          </w:p>
        </w:tc>
        <w:tc>
          <w:tcPr>
            <w:tcW w:w="7039" w:type="dxa"/>
            <w:gridSpan w:val="9"/>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实际采购金额</w:t>
            </w:r>
          </w:p>
        </w:tc>
      </w:tr>
      <w:tr>
        <w:tblPrEx>
          <w:tblCellMar>
            <w:top w:w="15" w:type="dxa"/>
            <w:left w:w="15" w:type="dxa"/>
            <w:bottom w:w="0" w:type="dxa"/>
            <w:right w:w="15" w:type="dxa"/>
          </w:tblCellMar>
        </w:tblPrEx>
        <w:trPr>
          <w:trHeight w:val="350" w:hRule="atLeast"/>
        </w:trPr>
        <w:tc>
          <w:tcPr>
            <w:tcW w:w="1900" w:type="dxa"/>
            <w:vMerge w:val="continue"/>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rPr>
                <w:rFonts w:ascii="宋体" w:hAnsi="宋体" w:cs="宋体"/>
                <w:color w:val="000000"/>
                <w:szCs w:val="21"/>
              </w:rPr>
            </w:pPr>
          </w:p>
        </w:tc>
        <w:tc>
          <w:tcPr>
            <w:tcW w:w="1203" w:type="dxa"/>
            <w:vMerge w:val="restart"/>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总计</w:t>
            </w:r>
          </w:p>
        </w:tc>
        <w:tc>
          <w:tcPr>
            <w:tcW w:w="4611" w:type="dxa"/>
            <w:gridSpan w:val="7"/>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采购预算（财政性资金）</w:t>
            </w:r>
          </w:p>
        </w:tc>
        <w:tc>
          <w:tcPr>
            <w:tcW w:w="1225" w:type="dxa"/>
            <w:vMerge w:val="restart"/>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非财政性资金</w:t>
            </w:r>
          </w:p>
        </w:tc>
      </w:tr>
      <w:tr>
        <w:tblPrEx>
          <w:tblCellMar>
            <w:top w:w="15" w:type="dxa"/>
            <w:left w:w="15" w:type="dxa"/>
            <w:bottom w:w="0" w:type="dxa"/>
            <w:right w:w="15" w:type="dxa"/>
          </w:tblCellMar>
        </w:tblPrEx>
        <w:trPr>
          <w:trHeight w:val="543" w:hRule="atLeast"/>
        </w:trPr>
        <w:tc>
          <w:tcPr>
            <w:tcW w:w="1900" w:type="dxa"/>
            <w:vMerge w:val="continue"/>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rPr>
                <w:rFonts w:ascii="宋体" w:hAnsi="宋体" w:cs="宋体"/>
                <w:color w:val="000000"/>
                <w:szCs w:val="21"/>
              </w:rPr>
            </w:pPr>
          </w:p>
        </w:tc>
        <w:tc>
          <w:tcPr>
            <w:tcW w:w="1203" w:type="dxa"/>
            <w:vMerge w:val="continue"/>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rPr>
                <w:rFonts w:ascii="宋体" w:hAnsi="宋体" w:cs="宋体"/>
                <w:color w:val="000000"/>
                <w:szCs w:val="21"/>
              </w:rPr>
            </w:pPr>
          </w:p>
        </w:tc>
        <w:tc>
          <w:tcPr>
            <w:tcW w:w="1153"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合计</w:t>
            </w:r>
          </w:p>
        </w:tc>
        <w:tc>
          <w:tcPr>
            <w:tcW w:w="1151"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一般公共预算</w:t>
            </w:r>
          </w:p>
        </w:tc>
        <w:tc>
          <w:tcPr>
            <w:tcW w:w="1153"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政府性基金预算</w:t>
            </w:r>
          </w:p>
        </w:tc>
        <w:tc>
          <w:tcPr>
            <w:tcW w:w="1154"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其他资金</w:t>
            </w:r>
          </w:p>
        </w:tc>
        <w:tc>
          <w:tcPr>
            <w:tcW w:w="1225" w:type="dxa"/>
            <w:vMerge w:val="continue"/>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rPr>
                <w:rFonts w:ascii="宋体" w:hAnsi="宋体" w:cs="宋体"/>
                <w:color w:val="000000"/>
                <w:szCs w:val="21"/>
              </w:rPr>
            </w:pPr>
          </w:p>
        </w:tc>
      </w:tr>
      <w:tr>
        <w:tblPrEx>
          <w:tblCellMar>
            <w:top w:w="15" w:type="dxa"/>
            <w:left w:w="15" w:type="dxa"/>
            <w:bottom w:w="0" w:type="dxa"/>
            <w:right w:w="15" w:type="dxa"/>
          </w:tblCellMar>
        </w:tblPrEx>
        <w:trPr>
          <w:trHeight w:val="309" w:hRule="atLeast"/>
        </w:trPr>
        <w:tc>
          <w:tcPr>
            <w:tcW w:w="1900"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栏次</w:t>
            </w:r>
          </w:p>
        </w:tc>
        <w:tc>
          <w:tcPr>
            <w:tcW w:w="1203"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1</w:t>
            </w:r>
          </w:p>
        </w:tc>
        <w:tc>
          <w:tcPr>
            <w:tcW w:w="1153"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2</w:t>
            </w:r>
          </w:p>
        </w:tc>
        <w:tc>
          <w:tcPr>
            <w:tcW w:w="1151"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3</w:t>
            </w:r>
          </w:p>
        </w:tc>
        <w:tc>
          <w:tcPr>
            <w:tcW w:w="1153"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4</w:t>
            </w:r>
          </w:p>
        </w:tc>
        <w:tc>
          <w:tcPr>
            <w:tcW w:w="1154"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5</w:t>
            </w:r>
          </w:p>
        </w:tc>
        <w:tc>
          <w:tcPr>
            <w:tcW w:w="1225"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6</w:t>
            </w:r>
          </w:p>
        </w:tc>
      </w:tr>
      <w:tr>
        <w:tblPrEx>
          <w:tblCellMar>
            <w:top w:w="15" w:type="dxa"/>
            <w:left w:w="15" w:type="dxa"/>
            <w:bottom w:w="0" w:type="dxa"/>
            <w:right w:w="15" w:type="dxa"/>
          </w:tblCellMar>
        </w:tblPrEx>
        <w:trPr>
          <w:trHeight w:val="335" w:hRule="atLeast"/>
        </w:trPr>
        <w:tc>
          <w:tcPr>
            <w:tcW w:w="1900"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合       计</w:t>
            </w:r>
          </w:p>
        </w:tc>
        <w:tc>
          <w:tcPr>
            <w:tcW w:w="1203"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92.15</w:t>
            </w:r>
          </w:p>
        </w:tc>
        <w:tc>
          <w:tcPr>
            <w:tcW w:w="1153"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92.15</w:t>
            </w:r>
          </w:p>
        </w:tc>
        <w:tc>
          <w:tcPr>
            <w:tcW w:w="1151"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87.58</w:t>
            </w:r>
          </w:p>
        </w:tc>
        <w:tc>
          <w:tcPr>
            <w:tcW w:w="1153"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c>
          <w:tcPr>
            <w:tcW w:w="1154"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4.57</w:t>
            </w:r>
          </w:p>
        </w:tc>
        <w:tc>
          <w:tcPr>
            <w:tcW w:w="1225"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r>
      <w:tr>
        <w:tblPrEx>
          <w:tblCellMar>
            <w:top w:w="15" w:type="dxa"/>
            <w:left w:w="15" w:type="dxa"/>
            <w:bottom w:w="0" w:type="dxa"/>
            <w:right w:w="15" w:type="dxa"/>
          </w:tblCellMar>
        </w:tblPrEx>
        <w:trPr>
          <w:trHeight w:val="335" w:hRule="atLeast"/>
        </w:trPr>
        <w:tc>
          <w:tcPr>
            <w:tcW w:w="1900"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货物</w:t>
            </w:r>
          </w:p>
        </w:tc>
        <w:tc>
          <w:tcPr>
            <w:tcW w:w="1203"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19.45</w:t>
            </w:r>
          </w:p>
        </w:tc>
        <w:tc>
          <w:tcPr>
            <w:tcW w:w="1153"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19.45</w:t>
            </w:r>
          </w:p>
        </w:tc>
        <w:tc>
          <w:tcPr>
            <w:tcW w:w="1151"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14.87</w:t>
            </w:r>
          </w:p>
        </w:tc>
        <w:tc>
          <w:tcPr>
            <w:tcW w:w="1153"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c>
          <w:tcPr>
            <w:tcW w:w="1154"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4.57</w:t>
            </w:r>
          </w:p>
        </w:tc>
        <w:tc>
          <w:tcPr>
            <w:tcW w:w="1225"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r>
      <w:tr>
        <w:tblPrEx>
          <w:tblCellMar>
            <w:top w:w="15" w:type="dxa"/>
            <w:left w:w="15" w:type="dxa"/>
            <w:bottom w:w="0" w:type="dxa"/>
            <w:right w:w="15" w:type="dxa"/>
          </w:tblCellMar>
        </w:tblPrEx>
        <w:trPr>
          <w:trHeight w:val="335" w:hRule="atLeast"/>
        </w:trPr>
        <w:tc>
          <w:tcPr>
            <w:tcW w:w="1900"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工程</w:t>
            </w:r>
          </w:p>
        </w:tc>
        <w:tc>
          <w:tcPr>
            <w:tcW w:w="1203"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c>
          <w:tcPr>
            <w:tcW w:w="1153"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c>
          <w:tcPr>
            <w:tcW w:w="1151"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c>
          <w:tcPr>
            <w:tcW w:w="1153"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c>
          <w:tcPr>
            <w:tcW w:w="1154"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c>
          <w:tcPr>
            <w:tcW w:w="1225"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r>
      <w:tr>
        <w:tblPrEx>
          <w:tblCellMar>
            <w:top w:w="15" w:type="dxa"/>
            <w:left w:w="15" w:type="dxa"/>
            <w:bottom w:w="0" w:type="dxa"/>
            <w:right w:w="15" w:type="dxa"/>
          </w:tblCellMar>
        </w:tblPrEx>
        <w:trPr>
          <w:trHeight w:val="335" w:hRule="atLeast"/>
        </w:trPr>
        <w:tc>
          <w:tcPr>
            <w:tcW w:w="1900" w:type="dxa"/>
            <w:tcBorders>
              <w:left w:val="single" w:color="000000" w:sz="4" w:space="0"/>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center"/>
              <w:textAlignment w:val="center"/>
              <w:rPr>
                <w:rFonts w:ascii="宋体" w:hAnsi="宋体" w:cs="宋体"/>
                <w:color w:val="000000"/>
                <w:szCs w:val="21"/>
              </w:rPr>
            </w:pPr>
            <w:r>
              <w:rPr>
                <w:rFonts w:ascii="宋体" w:hAnsi="宋体" w:cs="宋体"/>
                <w:color w:val="000000"/>
                <w:kern w:val="0"/>
                <w:szCs w:val="21"/>
              </w:rPr>
              <w:t>服务</w:t>
            </w:r>
          </w:p>
        </w:tc>
        <w:tc>
          <w:tcPr>
            <w:tcW w:w="1203"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72.71</w:t>
            </w:r>
          </w:p>
        </w:tc>
        <w:tc>
          <w:tcPr>
            <w:tcW w:w="1153"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72.71</w:t>
            </w:r>
          </w:p>
        </w:tc>
        <w:tc>
          <w:tcPr>
            <w:tcW w:w="1151"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r>
              <w:rPr>
                <w:rFonts w:ascii="宋体" w:hAnsi="宋体" w:cs="宋体"/>
                <w:color w:val="000000"/>
                <w:szCs w:val="21"/>
              </w:rPr>
              <w:t>72.71</w:t>
            </w:r>
          </w:p>
        </w:tc>
        <w:tc>
          <w:tcPr>
            <w:tcW w:w="1153" w:type="dxa"/>
            <w:gridSpan w:val="2"/>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c>
          <w:tcPr>
            <w:tcW w:w="1154"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c>
          <w:tcPr>
            <w:tcW w:w="1225" w:type="dxa"/>
            <w:tcBorders>
              <w:bottom w:val="single" w:color="000000" w:sz="4" w:space="0"/>
              <w:right w:val="single" w:color="000000" w:sz="4" w:space="0"/>
            </w:tcBorders>
            <w:vAlign w:val="center"/>
          </w:tcPr>
          <w:p>
            <w:pPr>
              <w:pStyle w:val="4"/>
              <w:widowControl w:val="0"/>
              <w:bidi w:val="0"/>
              <w:snapToGrid w:val="0"/>
              <w:spacing w:beforeLines="0" w:beforeAutospacing="0" w:after="0" w:afterAutospacing="0" w:line="240" w:lineRule="auto"/>
              <w:jc w:val="right"/>
              <w:rPr>
                <w:rFonts w:ascii="宋体" w:hAnsi="宋体" w:cs="宋体"/>
                <w:color w:val="000000"/>
                <w:szCs w:val="21"/>
              </w:rPr>
            </w:pPr>
          </w:p>
        </w:tc>
      </w:tr>
      <w:tr>
        <w:tblPrEx>
          <w:tblCellMar>
            <w:top w:w="15" w:type="dxa"/>
            <w:left w:w="15" w:type="dxa"/>
            <w:bottom w:w="0" w:type="dxa"/>
            <w:right w:w="15" w:type="dxa"/>
          </w:tblCellMar>
        </w:tblPrEx>
        <w:trPr>
          <w:trHeight w:val="398" w:hRule="atLeast"/>
        </w:trPr>
        <w:tc>
          <w:tcPr>
            <w:tcW w:w="8939" w:type="dxa"/>
            <w:gridSpan w:val="10"/>
            <w:vAlign w:val="center"/>
          </w:tcPr>
          <w:p>
            <w:pPr>
              <w:pStyle w:val="4"/>
              <w:widowControl w:val="0"/>
              <w:bidi w:val="0"/>
              <w:snapToGrid w:val="0"/>
              <w:spacing w:beforeLines="0" w:beforeAutospacing="0" w:after="0" w:afterAutospacing="0" w:line="240" w:lineRule="auto"/>
              <w:jc w:val="left"/>
              <w:textAlignment w:val="center"/>
              <w:rPr>
                <w:rFonts w:ascii="宋体" w:hAnsi="宋体" w:cs="宋体"/>
                <w:color w:val="000000"/>
                <w:szCs w:val="21"/>
              </w:rPr>
            </w:pPr>
            <w:r>
              <w:rPr>
                <w:rFonts w:ascii="宋体" w:hAnsi="宋体" w:cs="宋体"/>
                <w:color w:val="000000"/>
                <w:kern w:val="0"/>
                <w:szCs w:val="21"/>
              </w:rPr>
              <w:t xml:space="preserve">注：本表反映部门本年度纳入部门预算范围的政府采购预算及支出情况。     </w:t>
            </w:r>
          </w:p>
        </w:tc>
      </w:tr>
    </w:tbl>
    <w:p>
      <w:pPr>
        <w:pStyle w:val="4"/>
        <w:widowControl/>
        <w:bidi w:val="0"/>
        <w:spacing w:beforeLines="0" w:beforeAutospacing="0" w:after="0" w:afterAutospacing="0" w:line="560" w:lineRule="exact"/>
        <w:jc w:val="left"/>
        <w:rPr>
          <w:rFonts w:ascii="仿宋_GB2312" w:hAnsi="仿宋_GB2312" w:eastAsia="仿宋_GB2312"/>
          <w:b/>
          <w:sz w:val="28"/>
          <w:szCs w:val="28"/>
          <w:highlight w:val="yellow"/>
        </w:rPr>
      </w:pPr>
    </w:p>
    <w:p>
      <w:pPr>
        <w:pStyle w:val="4"/>
        <w:widowControl w:val="0"/>
        <w:bidi w:val="0"/>
        <w:spacing w:beforeLines="0" w:beforeAutospacing="0" w:after="160" w:afterAutospacing="0" w:line="480" w:lineRule="auto"/>
        <w:jc w:val="both"/>
      </w:pPr>
    </w:p>
    <w:p>
      <w:pPr>
        <w:pStyle w:val="4"/>
        <w:widowControl w:val="0"/>
        <w:bidi w:val="0"/>
        <w:spacing w:beforeLines="0" w:beforeAutospacing="0" w:after="160" w:afterAutospacing="0" w:line="480" w:lineRule="auto"/>
        <w:jc w:val="both"/>
      </w:pPr>
    </w:p>
    <w:p>
      <w:pPr>
        <w:pStyle w:val="4"/>
        <w:widowControl w:val="0"/>
        <w:bidi w:val="0"/>
        <w:spacing w:beforeLines="0" w:beforeAutospacing="0" w:after="160" w:afterAutospacing="0" w:line="480" w:lineRule="auto"/>
        <w:jc w:val="both"/>
      </w:pPr>
    </w:p>
    <w:p>
      <w:pPr>
        <w:pStyle w:val="4"/>
        <w:widowControl w:val="0"/>
        <w:bidi w:val="0"/>
        <w:spacing w:beforeLines="0" w:beforeAutospacing="0" w:after="160" w:afterAutospacing="0" w:line="480" w:lineRule="auto"/>
        <w:jc w:val="both"/>
      </w:pPr>
    </w:p>
    <w:p>
      <w:pPr>
        <w:pStyle w:val="4"/>
        <w:tabs>
          <w:tab w:val="left" w:pos="1086"/>
        </w:tabs>
        <w:bidi w:val="0"/>
        <w:jc w:val="left"/>
        <w:sectPr>
          <w:pgSz w:w="11906" w:h="16838"/>
          <w:pgMar w:top="2098" w:right="1474" w:bottom="1984" w:left="1588" w:header="0" w:footer="0" w:gutter="0"/>
          <w:pgNumType w:fmt="decimal"/>
          <w:cols w:space="720" w:num="1"/>
          <w:formProt w:val="0"/>
          <w:docGrid w:type="lines" w:linePitch="312" w:charSpace="43007"/>
        </w:sectPr>
      </w:pPr>
      <w:r>
        <w:tab/>
      </w:r>
    </w:p>
    <w:p>
      <w:pPr>
        <w:pStyle w:val="4"/>
        <w:bidi w:val="0"/>
        <w:sectPr>
          <w:pgSz w:w="11906" w:h="16838"/>
          <w:pgMar w:top="2098" w:right="1474" w:bottom="1984" w:left="1588" w:header="0" w:footer="0" w:gutter="0"/>
          <w:pgNumType w:fmt="decimal"/>
          <w:cols w:space="720" w:num="1"/>
          <w:formProt w:val="0"/>
          <w:docGrid w:type="lines" w:linePitch="312" w:charSpace="43007"/>
        </w:sectPr>
      </w:pPr>
      <w:r>
        <w:drawing>
          <wp:anchor distT="0" distB="0" distL="0" distR="0" simplePos="0" relativeHeight="1024" behindDoc="1" locked="0" layoutInCell="0" allowOverlap="1">
            <wp:simplePos x="0" y="0"/>
            <wp:positionH relativeFrom="column">
              <wp:posOffset>-1007110</wp:posOffset>
            </wp:positionH>
            <wp:positionV relativeFrom="paragraph">
              <wp:posOffset>-1336040</wp:posOffset>
            </wp:positionV>
            <wp:extent cx="7550785" cy="10680700"/>
            <wp:effectExtent l="0" t="0" r="0" b="0"/>
            <wp:wrapNone/>
            <wp:docPr id="47" name="图片 4"/>
            <wp:cNvGraphicFramePr/>
            <a:graphic xmlns:a="http://schemas.openxmlformats.org/drawingml/2006/main">
              <a:graphicData uri="http://schemas.openxmlformats.org/drawingml/2006/picture">
                <pic:pic xmlns:pic="http://schemas.openxmlformats.org/drawingml/2006/picture">
                  <pic:nvPicPr>
                    <pic:cNvPr id="47" name="图片 4"/>
                    <pic:cNvPicPr/>
                  </pic:nvPicPr>
                  <pic:blipFill>
                    <a:blip r:embed="rId6"/>
                    <a:stretch>
                      <a:fillRect/>
                    </a:stretch>
                  </pic:blipFill>
                  <pic:spPr>
                    <a:xfrm>
                      <a:off x="0" y="0"/>
                      <a:ext cx="7550280" cy="10680120"/>
                    </a:xfrm>
                    <a:prstGeom prst="rect">
                      <a:avLst/>
                    </a:prstGeom>
                    <a:ln w="0">
                      <a:noFill/>
                    </a:ln>
                  </pic:spPr>
                </pic:pic>
              </a:graphicData>
            </a:graphic>
          </wp:anchor>
        </w:drawing>
      </w:r>
      <w:r>
        <mc:AlternateContent>
          <mc:Choice Requires="wps">
            <w:drawing>
              <wp:anchor distT="0" distB="0" distL="114300" distR="114300" simplePos="0" relativeHeight="1024" behindDoc="0" locked="0" layoutInCell="0" allowOverlap="1">
                <wp:simplePos x="0" y="0"/>
                <wp:positionH relativeFrom="column">
                  <wp:posOffset>-998220</wp:posOffset>
                </wp:positionH>
                <wp:positionV relativeFrom="paragraph">
                  <wp:posOffset>2956560</wp:posOffset>
                </wp:positionV>
                <wp:extent cx="7560310" cy="2020570"/>
                <wp:effectExtent l="0" t="0" r="0" b="0"/>
                <wp:wrapNone/>
                <wp:docPr id="48" name="文本框 48"/>
                <wp:cNvGraphicFramePr/>
                <a:graphic xmlns:a="http://schemas.openxmlformats.org/drawingml/2006/main">
                  <a:graphicData uri="http://schemas.microsoft.com/office/word/2010/wordprocessingShape">
                    <wps:wsp>
                      <wps:cNvSpPr txBox="true"/>
                      <wps:spPr>
                        <a:xfrm>
                          <a:off x="0" y="0"/>
                          <a:ext cx="7560310" cy="2020570"/>
                        </a:xfrm>
                        <a:prstGeom prst="rect">
                          <a:avLst/>
                        </a:prstGeom>
                        <a:solidFill>
                          <a:srgbClr val="FFFFFF">
                            <a:alpha val="0"/>
                          </a:srgbClr>
                        </a:solidFill>
                      </wps:spPr>
                      <wps:txbx>
                        <w:txbxContent>
                          <w:p>
                            <w:pPr>
                              <w:pStyle w:val="10"/>
                              <w:widowControl/>
                              <w:bidi w:val="0"/>
                              <w:spacing w:line="1200" w:lineRule="exact"/>
                              <w:jc w:val="center"/>
                              <w:rPr>
                                <w:rFonts w:ascii="黑体" w:hAnsi="黑体" w:eastAsia="黑体"/>
                                <w:color w:val="FDEFBE"/>
                                <w:sz w:val="96"/>
                                <w:szCs w:val="96"/>
                              </w:rPr>
                            </w:pPr>
                            <w:r>
                              <w:rPr>
                                <w:rFonts w:ascii="黑体" w:hAnsi="黑体" w:eastAsia="黑体"/>
                                <w:color w:val="FDEFBE"/>
                                <w:sz w:val="96"/>
                                <w:szCs w:val="96"/>
                              </w:rPr>
                              <w:t>第三部分</w:t>
                            </w:r>
                          </w:p>
                          <w:p>
                            <w:pPr>
                              <w:pStyle w:val="10"/>
                              <w:widowControl/>
                              <w:bidi w:val="0"/>
                              <w:spacing w:beforeLines="0" w:beforeAutospacing="0" w:after="160" w:afterAutospacing="0" w:line="1200" w:lineRule="exact"/>
                              <w:jc w:val="center"/>
                              <w:rPr>
                                <w:color w:val="FDEFBE"/>
                                <w:sz w:val="96"/>
                                <w:szCs w:val="96"/>
                              </w:rPr>
                            </w:pPr>
                            <w:r>
                              <w:rPr>
                                <w:rFonts w:ascii="黑体" w:hAnsi="黑体" w:eastAsia="黑体"/>
                                <w:color w:val="FDEFBE"/>
                                <w:sz w:val="96"/>
                                <w:szCs w:val="96"/>
                              </w:rPr>
                              <w:t>部门决算情况说明</w:t>
                            </w:r>
                          </w:p>
                        </w:txbxContent>
                      </wps:txbx>
                      <wps:bodyPr lIns="91440" tIns="45720" rIns="91440" bIns="45720" anchor="t">
                        <a:noAutofit/>
                      </wps:bodyPr>
                    </wps:wsp>
                  </a:graphicData>
                </a:graphic>
              </wp:anchor>
            </w:drawing>
          </mc:Choice>
          <mc:Fallback>
            <w:pict>
              <v:shape id="_x0000_s1026" o:spid="_x0000_s1026" o:spt="202" type="#_x0000_t202" style="position:absolute;left:0pt;margin-left:-78.6pt;margin-top:232.8pt;height:159.1pt;width:595.3pt;z-index:1024;mso-width-relative:page;mso-height-relative:page;" fillcolor="#FFFFFF" filled="t" stroked="f" coordsize="21600,21600" o:allowincell="f" o:gfxdata="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LwS/3&#10;3AAAAA0BAAAPAAAAAAAAAAEAIAAAADgAAABkcnMvZG93bnJldi54bWxQSwECFAAUAAAACACHTuJA&#10;uECYqc4BAACBAwAADgAAAAAAAAABACAAAABBAQAAZHJzL2Uyb0RvYy54bWxQSwUGAAAAAAYABgBZ&#10;AQAAgQUAAAAA&#10;">
                <v:fill on="t" opacity="0f" focussize="0,0"/>
                <v:stroke on="f"/>
                <v:imagedata o:title=""/>
                <o:lock v:ext="edit" aspectratio="f"/>
                <v:textbox>
                  <w:txbxContent>
                    <w:p>
                      <w:pPr>
                        <w:pStyle w:val="10"/>
                        <w:widowControl/>
                        <w:bidi w:val="0"/>
                        <w:spacing w:line="1200" w:lineRule="exact"/>
                        <w:jc w:val="center"/>
                        <w:rPr>
                          <w:rFonts w:ascii="黑体" w:hAnsi="黑体" w:eastAsia="黑体"/>
                          <w:color w:val="FDEFBE"/>
                          <w:sz w:val="96"/>
                          <w:szCs w:val="96"/>
                        </w:rPr>
                      </w:pPr>
                      <w:r>
                        <w:rPr>
                          <w:rFonts w:ascii="黑体" w:hAnsi="黑体" w:eastAsia="黑体"/>
                          <w:color w:val="FDEFBE"/>
                          <w:sz w:val="96"/>
                          <w:szCs w:val="96"/>
                        </w:rPr>
                        <w:t>第三部分</w:t>
                      </w:r>
                    </w:p>
                    <w:p>
                      <w:pPr>
                        <w:pStyle w:val="10"/>
                        <w:widowControl/>
                        <w:bidi w:val="0"/>
                        <w:spacing w:beforeLines="0" w:beforeAutospacing="0" w:after="160" w:afterAutospacing="0" w:line="1200" w:lineRule="exact"/>
                        <w:jc w:val="center"/>
                        <w:rPr>
                          <w:color w:val="FDEFBE"/>
                          <w:sz w:val="96"/>
                          <w:szCs w:val="96"/>
                        </w:rPr>
                      </w:pPr>
                      <w:r>
                        <w:rPr>
                          <w:rFonts w:ascii="黑体" w:hAnsi="黑体" w:eastAsia="黑体"/>
                          <w:color w:val="FDEFBE"/>
                          <w:sz w:val="96"/>
                          <w:szCs w:val="96"/>
                        </w:rPr>
                        <w:t>部门决算情况说明</w:t>
                      </w:r>
                    </w:p>
                  </w:txbxContent>
                </v:textbox>
              </v:shape>
            </w:pict>
          </mc:Fallback>
        </mc:AlternateContent>
      </w:r>
    </w:p>
    <w:p>
      <w:pPr>
        <w:pStyle w:val="4"/>
        <w:bidi w:val="0"/>
        <w:spacing w:beforeLines="0" w:beforeAutospacing="0" w:after="0" w:afterAutospacing="0" w:line="580" w:lineRule="exact"/>
        <w:rPr>
          <w:rFonts w:ascii="宋体" w:hAnsi="宋体" w:cs="黑体"/>
          <w:b/>
          <w:color w:val="FF0000"/>
          <w:kern w:val="0"/>
          <w:sz w:val="44"/>
          <w:szCs w:val="44"/>
        </w:rPr>
      </w:pPr>
      <w:r>
        <w:rPr>
          <w:rFonts w:ascii="宋体" w:hAnsi="宋体" w:cs="黑体"/>
          <w:b/>
          <w:color w:val="FF0000"/>
          <w:kern w:val="0"/>
          <w:sz w:val="44"/>
          <w:szCs w:val="44"/>
        </w:rPr>
        <mc:AlternateContent>
          <mc:Choice Requires="wpg">
            <w:drawing>
              <wp:anchor distT="0" distB="0" distL="114300" distR="114300" simplePos="0" relativeHeight="1024" behindDoc="1" locked="0" layoutInCell="0" allowOverlap="1">
                <wp:simplePos x="0" y="0"/>
                <wp:positionH relativeFrom="column">
                  <wp:posOffset>-1012825</wp:posOffset>
                </wp:positionH>
                <wp:positionV relativeFrom="page">
                  <wp:posOffset>372110</wp:posOffset>
                </wp:positionV>
                <wp:extent cx="3834130" cy="558800"/>
                <wp:effectExtent l="0" t="0" r="0" b="0"/>
                <wp:wrapNone/>
                <wp:docPr id="49" name="组合 1073"/>
                <wp:cNvGraphicFramePr/>
                <a:graphic xmlns:a="http://schemas.openxmlformats.org/drawingml/2006/main">
                  <a:graphicData uri="http://schemas.microsoft.com/office/word/2010/wordprocessingGroup">
                    <wpg:wgp>
                      <wpg:cNvGrpSpPr/>
                      <wpg:grpSpPr>
                        <a:xfrm>
                          <a:off x="0" y="0"/>
                          <a:ext cx="3833640" cy="558000"/>
                          <a:chOff x="0" y="0"/>
                          <a:chExt cx="3833640" cy="558000"/>
                        </a:xfrm>
                      </wpg:grpSpPr>
                      <wps:wsp>
                        <wps:cNvPr id="50" name="矩形 50"/>
                        <wps:cNvSpPr/>
                        <wps:spPr>
                          <a:xfrm>
                            <a:off x="0" y="0"/>
                            <a:ext cx="3833640" cy="469440"/>
                          </a:xfrm>
                          <a:prstGeom prst="rect">
                            <a:avLst/>
                          </a:prstGeom>
                          <a:solidFill>
                            <a:srgbClr val="D8D8D8"/>
                          </a:solidFill>
                          <a:ln w="0">
                            <a:noFill/>
                          </a:ln>
                        </wps:spPr>
                        <wps:bodyPr/>
                      </wps:wsp>
                      <wps:wsp>
                        <wps:cNvPr id="51" name="文本框 51"/>
                        <wps:cNvSpPr txBox="true"/>
                        <wps:spPr>
                          <a:xfrm>
                            <a:off x="11520" y="109800"/>
                            <a:ext cx="3733920" cy="448200"/>
                          </a:xfrm>
                          <a:prstGeom prst="rect">
                            <a:avLst/>
                          </a:prstGeom>
                          <a:solidFill>
                            <a:srgbClr val="AD002D"/>
                          </a:solidFill>
                          <a:ln w="25560">
                            <a:solidFill>
                              <a:srgbClr val="AF7621"/>
                            </a:solidFill>
                            <a:round/>
                          </a:ln>
                        </wps:spPr>
                        <wps:txb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2018年度部门决算☞部门决算情况说明</w:t>
                              </w:r>
                            </w:p>
                            <w:p>
                              <w:pPr>
                                <w:overflowPunct w:val="0"/>
                                <w:bidi w:val="0"/>
                                <w:spacing w:beforeLines="0" w:beforeAutospacing="0" w:afterLines="0" w:afterAutospacing="0" w:line="240" w:lineRule="auto"/>
                                <w:jc w:val="center"/>
                              </w:pPr>
                            </w:p>
                          </w:txbxContent>
                        </wps:txbx>
                        <wps:bodyPr wrap="square">
                          <a:noAutofit/>
                        </wps:bodyPr>
                      </wps:wsp>
                    </wpg:wgp>
                  </a:graphicData>
                </a:graphic>
              </wp:anchor>
            </w:drawing>
          </mc:Choice>
          <mc:Fallback>
            <w:pict>
              <v:group id="组合 1073" o:spid="_x0000_s1026" o:spt="203" style="position:absolute;left:0pt;margin-left:-79.75pt;margin-top:29.3pt;height:44pt;width:301.9pt;mso-position-vertical-relative:page;z-index:-503315456;mso-width-relative:page;mso-height-relative:page;" coordsize="3833640,558000" o:allowincell="f" o:gfxdata="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WAAAAZHJzL1BLAQIUABQA&#10;AAAIAIdO4kCd5KZv2wAAAAsBAAAPAAAAAAAAAAEAIAAAADgAAABkcnMvZG93bnJldi54bWxQSwEC&#10;FAAUAAAACACHTuJAQqV6DoYCAABABgAADgAAAAAAAAABACAAAABAAQAAZHJzL2Uyb0RvYy54bWxQ&#10;SwUGAAAAAAYABgBZAQAAOAYAAAAA&#10;">
                <o:lock v:ext="edit" aspectratio="f"/>
                <v:rect id="_x0000_s1026" o:spid="_x0000_s1026" o:spt="1" style="position:absolute;left:0;top:0;height:469440;width:3833640;" fillcolor="#D8D8D8" filled="t" stroked="f" coordsize="21600,21600" o:gfxdata="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&#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pNKYuQAAANsAAAAPAAAAAAAAAAEAIAAAADgAAABkcnMvZG93bnJldi54bWxQ&#10;SwECFAAUAAAACACHTuJAMy8FnjsAAAA5AAAAEAAAAAAAAAABACAAAAAeAQAAZHJzL3NoYXBleG1s&#10;LnhtbFBLBQYAAAAABgAGAFsBAADIAwAAAAA=&#10;">
                  <v:fill on="t" focussize="0,0"/>
                  <v:stroke on="f" weight="0pt"/>
                  <v:imagedata o:title=""/>
                  <o:lock v:ext="edit" aspectratio="f"/>
                </v:rect>
                <v:shape id="_x0000_s1026" o:spid="_x0000_s1026" o:spt="202" type="#_x0000_t202" style="position:absolute;left:11520;top:109800;height:448200;width:3733920;" fillcolor="#AD002D" filled="t" stroked="t" coordsize="21600,21600" o:gfxdata="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akgrnvwAAANsAAAAPAAAAAAAAAAEAIAAAADgAAABkcnMvZG93bnJl&#10;di54bWxQSwECFAAUAAAACACHTuJAMy8FnjsAAAA5AAAAEAAAAAAAAAABACAAAAAkAQAAZHJzL3No&#10;YXBleG1sLnhtbFBLBQYAAAAABgAGAFsBAADOAwAAAAA=&#10;">
                  <v:fill on="t" focussize="0,0"/>
                  <v:stroke weight="2.01259842519685pt" color="#AF7621" joinstyle="round"/>
                  <v:imagedata o:title=""/>
                  <o:lock v:ext="edit" aspectratio="f"/>
                  <v:textbo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2018年度部门决算☞部门决算情况说明</w:t>
                        </w:r>
                      </w:p>
                      <w:p>
                        <w:pPr>
                          <w:overflowPunct w:val="0"/>
                          <w:bidi w:val="0"/>
                          <w:spacing w:beforeLines="0" w:beforeAutospacing="0" w:afterLines="0" w:afterAutospacing="0" w:line="240" w:lineRule="auto"/>
                          <w:jc w:val="center"/>
                        </w:pPr>
                      </w:p>
                    </w:txbxContent>
                  </v:textbox>
                </v:shape>
              </v:group>
            </w:pict>
          </mc:Fallback>
        </mc:AlternateContent>
      </w:r>
    </w:p>
    <w:p>
      <w:pPr>
        <w:pStyle w:val="6"/>
        <w:bidi w:val="0"/>
        <w:spacing w:before="0" w:beforeAutospacing="0" w:after="0" w:afterAutospacing="0" w:line="580" w:lineRule="exact"/>
        <w:ind w:firstLine="640" w:firstLineChars="200"/>
        <w:rPr>
          <w:rFonts w:ascii="黑体" w:hAnsi="黑体" w:eastAsia="黑体"/>
          <w:b w:val="0"/>
          <w:bCs w:val="0"/>
        </w:rPr>
      </w:pPr>
      <w:r>
        <w:rPr>
          <w:rFonts w:ascii="黑体" w:hAnsi="黑体" w:eastAsia="黑体"/>
          <w:b w:val="0"/>
          <w:bCs w:val="0"/>
        </w:rPr>
        <w:t>一、收入</w:t>
      </w:r>
      <w:r>
        <w:rPr>
          <w:rFonts w:ascii="黑体" w:hAnsi="黑体" w:eastAsia="黑体" w:cs="黑体"/>
          <w:b w:val="0"/>
          <w:bCs w:val="0"/>
          <w:kern w:val="0"/>
        </w:rPr>
        <w:t>支出</w:t>
      </w:r>
      <w:r>
        <w:rPr>
          <w:rFonts w:ascii="黑体" w:hAnsi="黑体" w:eastAsia="黑体"/>
          <w:b w:val="0"/>
          <w:bCs w:val="0"/>
        </w:rPr>
        <w:t>决算总体情况说明</w:t>
      </w:r>
    </w:p>
    <w:p>
      <w:pPr>
        <w:pStyle w:val="4"/>
        <w:bidi w:val="0"/>
        <w:snapToGrid w:val="0"/>
        <w:spacing w:beforeLines="0" w:beforeAutospacing="0" w:after="0" w:afterAutospacing="0" w:line="580" w:lineRule="exact"/>
        <w:ind w:firstLine="640" w:firstLineChars="200"/>
        <w:rPr>
          <w:rFonts w:ascii="仿宋_GB2312" w:hAnsi="仿宋_GB2312" w:eastAsia="仿宋_GB2312" w:cs="DengXian-Regular"/>
          <w:sz w:val="32"/>
          <w:szCs w:val="32"/>
        </w:rPr>
      </w:pPr>
      <w:r>
        <w:rPr>
          <w:rFonts w:ascii="仿宋_GB2312" w:hAnsi="仿宋_GB2312" w:eastAsia="仿宋_GB2312" w:cs="DengXian-Regular"/>
          <w:sz w:val="32"/>
          <w:szCs w:val="32"/>
        </w:rPr>
        <w:t>本部门2018年度收支总计（含结转和结余）</w:t>
      </w:r>
      <w:r>
        <w:rPr>
          <w:rFonts w:ascii="仿宋" w:hAnsi="仿宋" w:eastAsia="仿宋"/>
          <w:sz w:val="32"/>
          <w:szCs w:val="32"/>
        </w:rPr>
        <w:t>6078.15</w:t>
      </w:r>
      <w:r>
        <w:rPr>
          <w:rFonts w:ascii="仿宋_GB2312" w:hAnsi="仿宋_GB2312" w:eastAsia="仿宋_GB2312" w:cs="DengXian-Regular"/>
          <w:sz w:val="32"/>
          <w:szCs w:val="32"/>
        </w:rPr>
        <w:t>万元。与2017年度决算5</w:t>
      </w:r>
      <w:r>
        <w:rPr>
          <w:rFonts w:ascii="仿宋" w:hAnsi="仿宋" w:eastAsia="仿宋"/>
          <w:sz w:val="32"/>
          <w:szCs w:val="32"/>
        </w:rPr>
        <w:t>424.19</w:t>
      </w:r>
      <w:r>
        <w:rPr>
          <w:rFonts w:ascii="仿宋_GB2312" w:hAnsi="仿宋_GB2312" w:eastAsia="仿宋_GB2312" w:cs="DengXian-Regular"/>
          <w:sz w:val="32"/>
          <w:szCs w:val="32"/>
        </w:rPr>
        <w:t>万元相比，收支各增加</w:t>
      </w:r>
      <w:r>
        <w:rPr>
          <w:rFonts w:ascii="仿宋" w:hAnsi="仿宋" w:eastAsia="仿宋"/>
          <w:sz w:val="32"/>
          <w:szCs w:val="32"/>
        </w:rPr>
        <w:t>653.96</w:t>
      </w:r>
      <w:r>
        <w:rPr>
          <w:rFonts w:ascii="仿宋_GB2312" w:hAnsi="仿宋_GB2312" w:eastAsia="仿宋_GB2312" w:cs="DengXian-Regular"/>
          <w:sz w:val="32"/>
          <w:szCs w:val="32"/>
        </w:rPr>
        <w:t>万元，增长</w:t>
      </w:r>
      <w:r>
        <w:rPr>
          <w:rFonts w:ascii="仿宋" w:hAnsi="仿宋" w:eastAsia="仿宋"/>
          <w:sz w:val="32"/>
          <w:szCs w:val="32"/>
        </w:rPr>
        <w:t>12.06</w:t>
      </w:r>
      <w:r>
        <w:rPr>
          <w:rFonts w:ascii="仿宋_GB2312" w:hAnsi="仿宋_GB2312" w:eastAsia="仿宋_GB2312" w:cs="DengXian-Regular"/>
          <w:sz w:val="32"/>
          <w:szCs w:val="32"/>
        </w:rPr>
        <w:t>%，增加的主要原因是增资和</w:t>
      </w:r>
      <w:r>
        <w:rPr>
          <w:rFonts w:ascii="仿宋_GB2312" w:hAnsi="仿宋_GB2312" w:eastAsia="仿宋_GB2312" w:cs="仿宋_GB2312"/>
          <w:sz w:val="32"/>
          <w:szCs w:val="32"/>
        </w:rPr>
        <w:t>追加的目标奖、精神文明奖以及国际商标品牌节项目支出。</w:t>
      </w:r>
    </w:p>
    <w:p>
      <w:pPr>
        <w:pStyle w:val="6"/>
        <w:bidi w:val="0"/>
        <w:spacing w:before="0" w:beforeAutospacing="0" w:after="0" w:afterAutospacing="0" w:line="580" w:lineRule="exact"/>
        <w:ind w:firstLine="640" w:firstLineChars="200"/>
        <w:rPr>
          <w:rFonts w:ascii="黑体" w:hAnsi="黑体" w:eastAsia="黑体"/>
          <w:b w:val="0"/>
          <w:bCs w:val="0"/>
        </w:rPr>
      </w:pPr>
      <w:r>
        <w:rPr>
          <w:rFonts w:ascii="黑体" w:hAnsi="黑体" w:eastAsia="黑体"/>
          <w:b w:val="0"/>
          <w:bCs w:val="0"/>
        </w:rPr>
        <w:t>二、收入决算情况说明</w:t>
      </w:r>
    </w:p>
    <w:p>
      <w:pPr>
        <w:pStyle w:val="4"/>
        <w:bidi w:val="0"/>
        <w:snapToGrid w:val="0"/>
        <w:spacing w:beforeLines="0" w:beforeAutospacing="0" w:after="0" w:afterAutospacing="0" w:line="580" w:lineRule="exact"/>
        <w:ind w:firstLine="640" w:firstLineChars="200"/>
        <w:rPr>
          <w:rFonts w:ascii="仿宋_GB2312" w:hAnsi="仿宋_GB2312" w:eastAsia="仿宋_GB2312" w:cs="DengXian-Regular"/>
          <w:sz w:val="32"/>
          <w:szCs w:val="32"/>
        </w:rPr>
      </w:pPr>
      <w:r>
        <w:rPr>
          <w:rFonts w:ascii="仿宋_GB2312" w:hAnsi="仿宋_GB2312" w:eastAsia="仿宋_GB2312" w:cs="DengXian-Regular"/>
          <w:sz w:val="32"/>
          <w:szCs w:val="32"/>
        </w:rPr>
        <w:t>本部门2018年度本年收入合计6</w:t>
      </w:r>
      <w:r>
        <w:rPr>
          <w:rFonts w:ascii="仿宋" w:hAnsi="仿宋" w:eastAsia="仿宋"/>
          <w:sz w:val="32"/>
          <w:szCs w:val="32"/>
        </w:rPr>
        <w:t>030.39</w:t>
      </w:r>
      <w:r>
        <w:rPr>
          <w:rFonts w:ascii="仿宋_GB2312" w:hAnsi="仿宋_GB2312" w:eastAsia="仿宋_GB2312" w:cs="DengXian-Regular"/>
          <w:sz w:val="32"/>
          <w:szCs w:val="32"/>
        </w:rPr>
        <w:t>万元，其中：财政拨款收入6</w:t>
      </w:r>
      <w:r>
        <w:rPr>
          <w:rFonts w:ascii="仿宋" w:hAnsi="仿宋" w:eastAsia="仿宋"/>
          <w:sz w:val="32"/>
          <w:szCs w:val="32"/>
        </w:rPr>
        <w:t>024.39</w:t>
      </w:r>
      <w:r>
        <w:rPr>
          <w:rFonts w:ascii="仿宋_GB2312" w:hAnsi="仿宋_GB2312" w:eastAsia="仿宋_GB2312" w:cs="DengXian-Regular"/>
          <w:sz w:val="32"/>
          <w:szCs w:val="32"/>
        </w:rPr>
        <w:t>万元，占</w:t>
      </w:r>
      <w:r>
        <w:rPr>
          <w:rFonts w:ascii="仿宋" w:hAnsi="仿宋" w:eastAsia="仿宋"/>
          <w:sz w:val="32"/>
          <w:szCs w:val="32"/>
        </w:rPr>
        <w:t>99.9</w:t>
      </w:r>
      <w:r>
        <w:rPr>
          <w:rFonts w:ascii="仿宋_GB2312" w:hAnsi="仿宋_GB2312" w:eastAsia="仿宋_GB2312" w:cs="DengXian-Regular"/>
          <w:sz w:val="32"/>
          <w:szCs w:val="32"/>
        </w:rPr>
        <w:t>%；其他收入6万元，占0</w:t>
      </w:r>
      <w:r>
        <w:rPr>
          <w:rFonts w:ascii="仿宋" w:hAnsi="仿宋" w:eastAsia="仿宋"/>
          <w:sz w:val="32"/>
          <w:szCs w:val="32"/>
        </w:rPr>
        <w:t>.</w:t>
      </w:r>
      <w:r>
        <w:rPr>
          <w:rFonts w:ascii="仿宋_GB2312" w:hAnsi="仿宋_GB2312" w:eastAsia="仿宋_GB2312" w:cs="DengXian-Regular"/>
          <w:sz w:val="32"/>
          <w:szCs w:val="32"/>
        </w:rPr>
        <w:t>1%。</w:t>
      </w:r>
    </w:p>
    <w:p>
      <w:pPr>
        <w:pStyle w:val="6"/>
        <w:bidi w:val="0"/>
        <w:spacing w:before="0" w:beforeAutospacing="0" w:after="0" w:afterAutospacing="0" w:line="580" w:lineRule="exact"/>
        <w:ind w:firstLine="640" w:firstLineChars="200"/>
        <w:rPr>
          <w:rFonts w:ascii="黑体" w:hAnsi="黑体" w:eastAsia="黑体"/>
          <w:b w:val="0"/>
          <w:bCs w:val="0"/>
        </w:rPr>
      </w:pPr>
      <w:r>
        <w:rPr>
          <w:rFonts w:ascii="黑体" w:hAnsi="黑体" w:eastAsia="黑体"/>
          <w:b w:val="0"/>
          <w:bCs w:val="0"/>
        </w:rPr>
        <w:t>三、支出决算情况说明</w:t>
      </w:r>
    </w:p>
    <w:p>
      <w:pPr>
        <w:pStyle w:val="4"/>
        <w:bidi w:val="0"/>
        <w:snapToGrid w:val="0"/>
        <w:spacing w:beforeLines="0" w:beforeAutospacing="0" w:after="0" w:afterAutospacing="0" w:line="580" w:lineRule="exact"/>
        <w:ind w:firstLine="640" w:firstLineChars="200"/>
        <w:rPr>
          <w:rFonts w:ascii="仿宋_GB2312" w:hAnsi="仿宋_GB2312" w:eastAsia="仿宋_GB2312" w:cs="DengXian-Regular"/>
          <w:sz w:val="32"/>
          <w:szCs w:val="32"/>
        </w:rPr>
      </w:pPr>
      <w:r>
        <w:rPr>
          <w:rFonts w:ascii="仿宋_GB2312" w:hAnsi="仿宋_GB2312" w:eastAsia="仿宋_GB2312" w:cs="DengXian-Regular"/>
          <w:sz w:val="32"/>
          <w:szCs w:val="32"/>
        </w:rPr>
        <w:t>本部门2018年度本年支出合计5804</w:t>
      </w:r>
      <w:r>
        <w:rPr>
          <w:rFonts w:ascii="仿宋" w:hAnsi="仿宋" w:eastAsia="仿宋"/>
          <w:sz w:val="32"/>
          <w:szCs w:val="32"/>
        </w:rPr>
        <w:t>.</w:t>
      </w:r>
      <w:r>
        <w:rPr>
          <w:rFonts w:ascii="仿宋_GB2312" w:hAnsi="仿宋_GB2312" w:eastAsia="仿宋_GB2312" w:cs="DengXian-Regular"/>
          <w:sz w:val="32"/>
          <w:szCs w:val="32"/>
        </w:rPr>
        <w:t>21万元，其中：基本支出5564</w:t>
      </w:r>
      <w:r>
        <w:rPr>
          <w:rFonts w:ascii="仿宋" w:hAnsi="仿宋" w:eastAsia="仿宋"/>
          <w:sz w:val="32"/>
          <w:szCs w:val="32"/>
        </w:rPr>
        <w:t>.19</w:t>
      </w:r>
      <w:r>
        <w:rPr>
          <w:rFonts w:ascii="仿宋_GB2312" w:hAnsi="仿宋_GB2312" w:eastAsia="仿宋_GB2312" w:cs="DengXian-Regular"/>
          <w:sz w:val="32"/>
          <w:szCs w:val="32"/>
        </w:rPr>
        <w:t>万元，占</w:t>
      </w:r>
      <w:r>
        <w:rPr>
          <w:rFonts w:ascii="仿宋" w:hAnsi="仿宋" w:eastAsia="仿宋"/>
          <w:sz w:val="32"/>
          <w:szCs w:val="32"/>
        </w:rPr>
        <w:t>9</w:t>
      </w:r>
      <w:r>
        <w:rPr>
          <w:rFonts w:ascii="仿宋_GB2312" w:hAnsi="仿宋_GB2312" w:eastAsia="仿宋_GB2312" w:cs="DengXian-Regular"/>
          <w:sz w:val="32"/>
          <w:szCs w:val="32"/>
        </w:rPr>
        <w:t>5</w:t>
      </w:r>
      <w:r>
        <w:rPr>
          <w:rFonts w:ascii="仿宋" w:hAnsi="仿宋" w:eastAsia="仿宋"/>
          <w:sz w:val="32"/>
          <w:szCs w:val="32"/>
        </w:rPr>
        <w:t>.</w:t>
      </w:r>
      <w:r>
        <w:rPr>
          <w:rFonts w:ascii="仿宋_GB2312" w:hAnsi="仿宋_GB2312" w:eastAsia="仿宋_GB2312" w:cs="DengXian-Regular"/>
          <w:sz w:val="32"/>
          <w:szCs w:val="32"/>
        </w:rPr>
        <w:t>86%；项目支出240</w:t>
      </w:r>
      <w:r>
        <w:rPr>
          <w:rFonts w:ascii="仿宋" w:hAnsi="仿宋" w:eastAsia="仿宋"/>
          <w:sz w:val="32"/>
          <w:szCs w:val="32"/>
        </w:rPr>
        <w:t>.</w:t>
      </w:r>
      <w:r>
        <w:rPr>
          <w:rFonts w:ascii="仿宋_GB2312" w:hAnsi="仿宋_GB2312" w:eastAsia="仿宋_GB2312" w:cs="DengXian-Regular"/>
          <w:sz w:val="32"/>
          <w:szCs w:val="32"/>
        </w:rPr>
        <w:t>02万元，占4</w:t>
      </w:r>
      <w:r>
        <w:rPr>
          <w:rFonts w:ascii="仿宋" w:hAnsi="仿宋" w:eastAsia="仿宋"/>
          <w:sz w:val="32"/>
          <w:szCs w:val="32"/>
        </w:rPr>
        <w:t>.</w:t>
      </w:r>
      <w:r>
        <w:rPr>
          <w:rFonts w:ascii="仿宋_GB2312" w:hAnsi="仿宋_GB2312" w:eastAsia="仿宋_GB2312" w:cs="DengXian-Regular"/>
          <w:sz w:val="32"/>
          <w:szCs w:val="32"/>
        </w:rPr>
        <w:t>14%.。</w:t>
      </w:r>
    </w:p>
    <w:p>
      <w:pPr>
        <w:pStyle w:val="6"/>
        <w:bidi w:val="0"/>
        <w:spacing w:before="0" w:beforeAutospacing="0" w:after="0" w:afterAutospacing="0" w:line="580" w:lineRule="exact"/>
        <w:ind w:firstLine="640" w:firstLineChars="200"/>
        <w:rPr>
          <w:rFonts w:ascii="黑体" w:hAnsi="黑体" w:eastAsia="黑体"/>
          <w:b w:val="0"/>
          <w:bCs w:val="0"/>
        </w:rPr>
      </w:pPr>
      <w:r>
        <w:rPr>
          <w:rFonts w:ascii="黑体" w:hAnsi="黑体" w:eastAsia="黑体"/>
          <w:b w:val="0"/>
          <w:bCs w:val="0"/>
        </w:rPr>
        <w:t>四、</w:t>
      </w:r>
      <w:r>
        <w:rPr>
          <w:rFonts w:ascii="黑体" w:hAnsi="黑体" w:eastAsia="黑体" w:cs="黑体"/>
          <w:b w:val="0"/>
          <w:bCs w:val="0"/>
          <w:kern w:val="0"/>
        </w:rPr>
        <w:t>财政</w:t>
      </w:r>
      <w:r>
        <w:rPr>
          <w:rFonts w:ascii="黑体" w:hAnsi="黑体" w:eastAsia="黑体"/>
          <w:b w:val="0"/>
          <w:bCs w:val="0"/>
        </w:rPr>
        <w:t>拨款收入支出决算总体情况说明</w:t>
      </w:r>
    </w:p>
    <w:p>
      <w:pPr>
        <w:pStyle w:val="4"/>
        <w:bidi w:val="0"/>
        <w:spacing w:beforeLines="0" w:beforeAutospacing="0" w:after="0" w:afterAutospacing="0" w:line="580" w:lineRule="exact"/>
        <w:ind w:firstLine="642" w:firstLineChars="200"/>
        <w:rPr>
          <w:rFonts w:ascii="楷体_GB2312" w:hAnsi="楷体_GB2312" w:eastAsia="楷体_GB2312" w:cs="DengXian-Bold"/>
          <w:b/>
          <w:bCs/>
          <w:sz w:val="32"/>
          <w:szCs w:val="32"/>
        </w:rPr>
      </w:pPr>
      <w:r>
        <w:rPr>
          <w:rFonts w:ascii="楷体_GB2312" w:hAnsi="楷体_GB2312" w:eastAsia="楷体_GB2312" w:cs="DengXian-Bold"/>
          <w:b/>
          <w:bCs/>
          <w:sz w:val="32"/>
          <w:szCs w:val="32"/>
        </w:rPr>
        <w:t>（一）财政拨款收支与2017 年度决算对比情况</w:t>
      </w:r>
    </w:p>
    <w:p>
      <w:pPr>
        <w:pStyle w:val="4"/>
        <w:bidi w:val="0"/>
        <w:snapToGrid w:val="0"/>
        <w:spacing w:beforeLines="0" w:beforeAutospacing="0" w:after="0" w:afterAutospacing="0" w:line="580" w:lineRule="exact"/>
        <w:ind w:firstLine="640" w:firstLineChars="200"/>
        <w:rPr>
          <w:rFonts w:ascii="仿宋_GB2312" w:hAnsi="仿宋_GB2312" w:eastAsia="仿宋_GB2312" w:cs="仿宋_GB2312"/>
          <w:sz w:val="32"/>
          <w:szCs w:val="32"/>
        </w:rPr>
      </w:pPr>
      <w:r>
        <w:rPr>
          <w:rFonts w:ascii="仿宋_GB2312" w:hAnsi="仿宋_GB2312" w:eastAsia="仿宋_GB2312" w:cs="DengXian-Regular"/>
          <w:sz w:val="32"/>
          <w:szCs w:val="32"/>
        </w:rPr>
        <w:t>.本部门2018年度形成的财政拨款收支均为一般公共预算财政拨款，其中一般公共预算财政拨款本年收入6030</w:t>
      </w:r>
      <w:r>
        <w:rPr>
          <w:rFonts w:ascii="仿宋" w:hAnsi="仿宋" w:eastAsia="仿宋"/>
          <w:sz w:val="32"/>
          <w:szCs w:val="32"/>
        </w:rPr>
        <w:t>.39</w:t>
      </w:r>
      <w:r>
        <w:rPr>
          <w:rFonts w:ascii="仿宋_GB2312" w:hAnsi="仿宋_GB2312" w:eastAsia="仿宋_GB2312" w:cs="DengXian-Regular"/>
          <w:sz w:val="32"/>
          <w:szCs w:val="32"/>
        </w:rPr>
        <w:t>万元,比2017年度增加6</w:t>
      </w:r>
      <w:r>
        <w:rPr>
          <w:rFonts w:ascii="仿宋" w:hAnsi="仿宋" w:eastAsia="仿宋"/>
          <w:sz w:val="32"/>
          <w:szCs w:val="32"/>
        </w:rPr>
        <w:t>9</w:t>
      </w:r>
      <w:r>
        <w:rPr>
          <w:rFonts w:ascii="仿宋_GB2312" w:hAnsi="仿宋_GB2312" w:eastAsia="仿宋_GB2312" w:cs="DengXian-Regular"/>
          <w:sz w:val="32"/>
          <w:szCs w:val="32"/>
        </w:rPr>
        <w:t>1</w:t>
      </w:r>
      <w:r>
        <w:rPr>
          <w:rFonts w:ascii="仿宋" w:hAnsi="仿宋" w:eastAsia="仿宋"/>
          <w:sz w:val="32"/>
          <w:szCs w:val="32"/>
        </w:rPr>
        <w:t>.91</w:t>
      </w:r>
      <w:r>
        <w:rPr>
          <w:rFonts w:ascii="仿宋_GB2312" w:hAnsi="仿宋_GB2312" w:eastAsia="仿宋_GB2312" w:cs="DengXian-Regular"/>
          <w:sz w:val="32"/>
          <w:szCs w:val="32"/>
        </w:rPr>
        <w:t>万元，增长12</w:t>
      </w:r>
      <w:r>
        <w:rPr>
          <w:rFonts w:ascii="仿宋" w:hAnsi="仿宋" w:eastAsia="仿宋"/>
          <w:sz w:val="32"/>
          <w:szCs w:val="32"/>
        </w:rPr>
        <w:t>.9</w:t>
      </w:r>
      <w:r>
        <w:rPr>
          <w:rFonts w:ascii="仿宋_GB2312" w:hAnsi="仿宋_GB2312" w:eastAsia="仿宋_GB2312" w:cs="DengXian-Regular"/>
          <w:sz w:val="32"/>
          <w:szCs w:val="32"/>
        </w:rPr>
        <w:t>6%，主要是增资和</w:t>
      </w:r>
      <w:r>
        <w:rPr>
          <w:rFonts w:ascii="仿宋_GB2312" w:hAnsi="仿宋_GB2312" w:eastAsia="仿宋_GB2312" w:cs="仿宋_GB2312"/>
          <w:sz w:val="32"/>
          <w:szCs w:val="32"/>
        </w:rPr>
        <w:t>追加的目标奖、精神文明奖以及国际商标品牌节项目拨款；本年支出5804.21万元，增加595.41万元，增长11.43%，主要是增资和追加的目标奖、精神文明奖以及国际商标品牌节项目支出。</w:t>
      </w:r>
    </w:p>
    <w:p>
      <w:pPr>
        <w:pStyle w:val="4"/>
        <w:bidi w:val="0"/>
        <w:spacing w:beforeLines="0" w:beforeAutospacing="0" w:after="0" w:afterAutospacing="0" w:line="580" w:lineRule="exact"/>
        <w:ind w:firstLine="642" w:firstLineChars="200"/>
        <w:rPr>
          <w:rFonts w:ascii="仿宋_GB2312" w:hAnsi="仿宋_GB2312" w:eastAsia="仿宋_GB2312" w:cs="DengXian-Bold"/>
          <w:b/>
          <w:bCs/>
          <w:sz w:val="32"/>
          <w:szCs w:val="32"/>
        </w:rPr>
      </w:pPr>
      <w:r>
        <w:rPr>
          <w:rFonts w:ascii="楷体_GB2312" w:hAnsi="楷体_GB2312" w:eastAsia="楷体_GB2312" w:cs="DengXian-Bold"/>
          <w:b/>
          <w:bCs/>
          <w:sz w:val="32"/>
          <w:szCs w:val="32"/>
        </w:rPr>
        <w:t>（二）财政拨款收支与年初预算数对比情况</w:t>
      </w:r>
    </w:p>
    <w:p>
      <w:pPr>
        <w:pStyle w:val="4"/>
        <w:bidi w:val="0"/>
        <w:snapToGrid w:val="0"/>
        <w:spacing w:beforeLines="0" w:beforeAutospacing="0" w:after="0" w:afterAutospacing="0" w:line="580" w:lineRule="exact"/>
        <w:ind w:firstLine="640" w:firstLineChars="200"/>
        <w:rPr>
          <w:rFonts w:ascii="仿宋_GB2312" w:hAnsi="仿宋_GB2312" w:eastAsia="仿宋_GB2312" w:cs="仿宋_GB2312"/>
          <w:sz w:val="32"/>
          <w:szCs w:val="32"/>
        </w:rPr>
      </w:pPr>
      <w:r>
        <w:rPr>
          <w:rFonts w:ascii="仿宋_GB2312" w:hAnsi="仿宋_GB2312" w:eastAsia="仿宋_GB2312" w:cs="DengXian-Regular"/>
          <w:sz w:val="32"/>
          <w:szCs w:val="32"/>
        </w:rPr>
        <w:t>本部门2018年度一般公共预算财政拨款收入6030</w:t>
      </w:r>
      <w:r>
        <w:rPr>
          <w:rFonts w:ascii="仿宋" w:hAnsi="仿宋" w:eastAsia="仿宋"/>
          <w:sz w:val="32"/>
          <w:szCs w:val="32"/>
        </w:rPr>
        <w:t>.39</w:t>
      </w:r>
      <w:r>
        <w:rPr>
          <w:rFonts w:ascii="仿宋_GB2312" w:hAnsi="仿宋_GB2312" w:eastAsia="仿宋_GB2312" w:cs="DengXian-Regular"/>
          <w:sz w:val="32"/>
          <w:szCs w:val="32"/>
        </w:rPr>
        <w:t>万元，完成年初预算的124</w:t>
      </w:r>
      <w:r>
        <w:rPr>
          <w:rFonts w:ascii="仿宋" w:hAnsi="仿宋" w:eastAsia="仿宋"/>
          <w:sz w:val="32"/>
          <w:szCs w:val="32"/>
        </w:rPr>
        <w:t>.</w:t>
      </w:r>
      <w:r>
        <w:rPr>
          <w:rFonts w:ascii="仿宋_GB2312" w:hAnsi="仿宋_GB2312" w:eastAsia="仿宋_GB2312" w:cs="DengXian-Regular"/>
          <w:sz w:val="32"/>
          <w:szCs w:val="32"/>
        </w:rPr>
        <w:t>66%（如图4）,比年初预算增加11</w:t>
      </w:r>
      <w:r>
        <w:rPr>
          <w:rFonts w:ascii="仿宋" w:hAnsi="仿宋" w:eastAsia="仿宋"/>
          <w:sz w:val="32"/>
          <w:szCs w:val="32"/>
        </w:rPr>
        <w:t>9</w:t>
      </w:r>
      <w:r>
        <w:rPr>
          <w:rFonts w:ascii="仿宋_GB2312" w:hAnsi="仿宋_GB2312" w:eastAsia="仿宋_GB2312" w:cs="DengXian-Regular"/>
          <w:sz w:val="32"/>
          <w:szCs w:val="32"/>
        </w:rPr>
        <w:t>2</w:t>
      </w:r>
      <w:r>
        <w:rPr>
          <w:rFonts w:ascii="仿宋" w:hAnsi="仿宋" w:eastAsia="仿宋"/>
          <w:sz w:val="32"/>
          <w:szCs w:val="32"/>
        </w:rPr>
        <w:t>.9</w:t>
      </w:r>
      <w:r>
        <w:rPr>
          <w:rFonts w:ascii="仿宋_GB2312" w:hAnsi="仿宋_GB2312" w:eastAsia="仿宋_GB2312" w:cs="DengXian-Regular"/>
          <w:sz w:val="32"/>
          <w:szCs w:val="32"/>
        </w:rPr>
        <w:t>3万元，决算数大于预算数主要原因是增资和</w:t>
      </w:r>
      <w:r>
        <w:rPr>
          <w:rFonts w:ascii="仿宋_GB2312" w:hAnsi="仿宋_GB2312" w:eastAsia="仿宋_GB2312" w:cs="仿宋_GB2312"/>
          <w:sz w:val="32"/>
          <w:szCs w:val="32"/>
        </w:rPr>
        <w:t>追加的目标奖、精神文明奖以及国际商标品牌节项目拨款；本年支出5804.21 万元，完成年初预算的119.98%,比年初预算增加966.75万元，决算数大于预算数主要原因是主要是增资和追加的目标奖、精神文明奖以及国际商标品牌节项目支出。</w:t>
      </w:r>
    </w:p>
    <w:p>
      <w:pPr>
        <w:pStyle w:val="4"/>
        <w:bidi w:val="0"/>
        <w:snapToGrid w:val="0"/>
        <w:spacing w:beforeLines="0" w:beforeAutospacing="0" w:after="0" w:afterAutospacing="0" w:line="580" w:lineRule="exact"/>
        <w:ind w:firstLine="642" w:firstLineChars="200"/>
        <w:rPr>
          <w:rFonts w:ascii="仿宋_GB2312" w:hAnsi="仿宋_GB2312" w:eastAsia="仿宋_GB2312" w:cs="仿宋_GB2312"/>
          <w:sz w:val="32"/>
          <w:szCs w:val="32"/>
        </w:rPr>
      </w:pPr>
      <w:r>
        <w:rPr>
          <w:rFonts w:ascii="仿宋_GB2312" w:hAnsi="仿宋_GB2312" w:eastAsia="仿宋_GB2312" w:cs="仿宋_GB2312"/>
          <w:b/>
          <w:bCs/>
          <w:sz w:val="32"/>
          <w:szCs w:val="32"/>
          <w:lang w:eastAsia="zh-CN"/>
        </w:rPr>
        <w:t>（</w:t>
      </w:r>
      <w:r>
        <w:rPr>
          <w:rFonts w:ascii="仿宋_GB2312" w:hAnsi="仿宋_GB2312" w:eastAsia="仿宋_GB2312" w:cs="仿宋_GB2312"/>
          <w:b/>
          <w:bCs/>
          <w:sz w:val="32"/>
          <w:szCs w:val="32"/>
        </w:rPr>
        <w:t>三</w:t>
      </w:r>
      <w:r>
        <w:rPr>
          <w:rFonts w:ascii="仿宋_GB2312" w:hAnsi="仿宋_GB2312" w:eastAsia="仿宋_GB2312" w:cs="仿宋_GB2312"/>
          <w:b/>
          <w:bCs/>
          <w:sz w:val="32"/>
          <w:szCs w:val="32"/>
          <w:lang w:eastAsia="zh-CN"/>
        </w:rPr>
        <w:t>）</w:t>
      </w:r>
      <w:r>
        <w:rPr>
          <w:rFonts w:ascii="仿宋_GB2312" w:hAnsi="仿宋_GB2312" w:eastAsia="仿宋_GB2312" w:cs="仿宋_GB2312"/>
          <w:b/>
          <w:bCs/>
          <w:sz w:val="32"/>
          <w:szCs w:val="32"/>
        </w:rPr>
        <w:t>财政拨款支出决算结构情况。</w:t>
      </w:r>
    </w:p>
    <w:p>
      <w:pPr>
        <w:pStyle w:val="4"/>
        <w:bidi w:val="0"/>
        <w:snapToGrid w:val="0"/>
        <w:spacing w:beforeLines="0" w:beforeAutospacing="0" w:after="0" w:afterAutospacing="0"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 年度财政拨款支出5785.89万元，主要用于以下方面：一般公共服务（类）支出4829.21万元，占83.47%；教育（类）支出29.74万元，占0.51%；社会保障和就业（类）支出341.40万元，占5.90%；医疗卫生与计划生育支出374.94万元，占6.48%；住房保障（类）支出211.05万元，占 3.65%。</w:t>
      </w:r>
    </w:p>
    <w:p>
      <w:pPr>
        <w:pStyle w:val="4"/>
        <w:bidi w:val="0"/>
        <w:snapToGrid w:val="0"/>
        <w:spacing w:beforeLines="0" w:beforeAutospacing="0" w:after="0" w:afterAutospacing="0" w:line="580" w:lineRule="exact"/>
        <w:ind w:left="400" w:leftChars="200"/>
        <w:rPr>
          <w:rFonts w:ascii="楷体_GB2312" w:hAnsi="楷体_GB2312" w:eastAsia="楷体_GB2312" w:cs="DengXian-Bold"/>
          <w:b/>
          <w:bCs/>
          <w:sz w:val="32"/>
          <w:szCs w:val="32"/>
        </w:rPr>
      </w:pPr>
      <w:r>
        <mc:AlternateContent>
          <mc:Choice Requires="wpg">
            <w:drawing>
              <wp:anchor distT="0" distB="0" distL="114300" distR="114300" simplePos="0" relativeHeight="1024" behindDoc="1" locked="0" layoutInCell="0" allowOverlap="1">
                <wp:simplePos x="0" y="0"/>
                <wp:positionH relativeFrom="column">
                  <wp:posOffset>-1012825</wp:posOffset>
                </wp:positionH>
                <wp:positionV relativeFrom="page">
                  <wp:posOffset>372110</wp:posOffset>
                </wp:positionV>
                <wp:extent cx="3834130" cy="558800"/>
                <wp:effectExtent l="0" t="0" r="0" b="0"/>
                <wp:wrapNone/>
                <wp:docPr id="52" name="组合 1076"/>
                <wp:cNvGraphicFramePr/>
                <a:graphic xmlns:a="http://schemas.openxmlformats.org/drawingml/2006/main">
                  <a:graphicData uri="http://schemas.microsoft.com/office/word/2010/wordprocessingGroup">
                    <wpg:wgp>
                      <wpg:cNvGrpSpPr/>
                      <wpg:grpSpPr>
                        <a:xfrm>
                          <a:off x="0" y="0"/>
                          <a:ext cx="3833640" cy="558000"/>
                          <a:chOff x="0" y="0"/>
                          <a:chExt cx="3833640" cy="558000"/>
                        </a:xfrm>
                      </wpg:grpSpPr>
                      <wps:wsp>
                        <wps:cNvPr id="53" name="矩形 53"/>
                        <wps:cNvSpPr/>
                        <wps:spPr>
                          <a:xfrm>
                            <a:off x="0" y="0"/>
                            <a:ext cx="3833640" cy="469440"/>
                          </a:xfrm>
                          <a:prstGeom prst="rect">
                            <a:avLst/>
                          </a:prstGeom>
                          <a:solidFill>
                            <a:srgbClr val="D8D8D8"/>
                          </a:solidFill>
                          <a:ln w="0">
                            <a:noFill/>
                          </a:ln>
                        </wps:spPr>
                        <wps:bodyPr/>
                      </wps:wsp>
                      <wps:wsp>
                        <wps:cNvPr id="54" name="文本框 54"/>
                        <wps:cNvSpPr txBox="true"/>
                        <wps:spPr>
                          <a:xfrm>
                            <a:off x="11520" y="109800"/>
                            <a:ext cx="3733920" cy="448200"/>
                          </a:xfrm>
                          <a:prstGeom prst="rect">
                            <a:avLst/>
                          </a:prstGeom>
                          <a:solidFill>
                            <a:srgbClr val="AD002D"/>
                          </a:solidFill>
                          <a:ln w="25560">
                            <a:solidFill>
                              <a:srgbClr val="AF7621"/>
                            </a:solidFill>
                            <a:round/>
                          </a:ln>
                        </wps:spPr>
                        <wps:txb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2018年度部门决算☞部门决算情况说明</w:t>
                              </w:r>
                            </w:p>
                            <w:p>
                              <w:pPr>
                                <w:overflowPunct w:val="0"/>
                                <w:bidi w:val="0"/>
                                <w:spacing w:beforeLines="0" w:beforeAutospacing="0" w:afterLines="0" w:afterAutospacing="0" w:line="240" w:lineRule="auto"/>
                                <w:jc w:val="center"/>
                              </w:pPr>
                            </w:p>
                          </w:txbxContent>
                        </wps:txbx>
                        <wps:bodyPr wrap="square">
                          <a:noAutofit/>
                        </wps:bodyPr>
                      </wps:wsp>
                    </wpg:wgp>
                  </a:graphicData>
                </a:graphic>
              </wp:anchor>
            </w:drawing>
          </mc:Choice>
          <mc:Fallback>
            <w:pict>
              <v:group id="组合 1076" o:spid="_x0000_s1026" o:spt="203" style="position:absolute;left:0pt;margin-left:-79.75pt;margin-top:29.3pt;height:44pt;width:301.9pt;mso-position-vertical-relative:page;z-index:-503315456;mso-width-relative:page;mso-height-relative:page;" coordsize="3833640,558000" o:allowincell="f" o:gfxdata="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BYAAABkcnMvUEsBAhQAFAAAAAgAh07i&#10;QJ3kpm/bAAAACwEAAA8AAAAAAAAAAQAgAAAAOAAAAGRycy9kb3ducmV2LnhtbFBLAQIUABQAAAAI&#10;AIdO4kBE/AtkfwIAAEAGAAAOAAAAAAAAAAEAIAAAAEABAABkcnMvZTJvRG9jLnhtbFBLBQYAAAAA&#10;BgAGAFkBAAAxBgAAAAA=&#10;">
                <o:lock v:ext="edit" aspectratio="f"/>
                <v:rect id="_x0000_s1026" o:spid="_x0000_s1026" o:spt="1" style="position:absolute;left:0;top:0;height:469440;width:3833640;" fillcolor="#D8D8D8" filled="t" stroked="f" coordsize="21600,21600" o:gfxdata="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nZM770AAADbAAAADwAAAAAAAAABACAAAAA4AAAAZHJzL2Rvd25yZXYu&#10;eG1sUEsBAhQAFAAAAAgAh07iQDMvBZ47AAAAOQAAABAAAAAAAAAAAQAgAAAAIgEAAGRycy9zaGFw&#10;ZXhtbC54bWxQSwUGAAAAAAYABgBbAQAAzAMAAAAA&#10;">
                  <v:fill on="t" focussize="0,0"/>
                  <v:stroke on="f" weight="0pt"/>
                  <v:imagedata o:title=""/>
                  <o:lock v:ext="edit" aspectratio="f"/>
                </v:rect>
                <v:shape id="_x0000_s1026" o:spid="_x0000_s1026" o:spt="202" type="#_x0000_t202" style="position:absolute;left:11520;top:109800;height:448200;width:3733920;" fillcolor="#AD002D" filled="t" stroked="t" coordsize="21600,21600" o:gfxdata="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uWpf70AAADbAAAADwAAAAAAAAABACAAAAA4AAAAZHJzL2Rvd25yZXYu&#10;eG1sUEsBAhQAFAAAAAgAh07iQDMvBZ47AAAAOQAAABAAAAAAAAAAAQAgAAAAIgEAAGRycy9zaGFw&#10;ZXhtbC54bWxQSwUGAAAAAAYABgBbAQAAzAMAAAAA&#10;">
                  <v:fill on="t" focussize="0,0"/>
                  <v:stroke weight="2.01259842519685pt" color="#AF7621" joinstyle="round"/>
                  <v:imagedata o:title=""/>
                  <o:lock v:ext="edit" aspectratio="f"/>
                  <v:textbo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2018年度部门决算☞部门决算情况说明</w:t>
                        </w:r>
                      </w:p>
                      <w:p>
                        <w:pPr>
                          <w:overflowPunct w:val="0"/>
                          <w:bidi w:val="0"/>
                          <w:spacing w:beforeLines="0" w:beforeAutospacing="0" w:afterLines="0" w:afterAutospacing="0" w:line="240" w:lineRule="auto"/>
                          <w:jc w:val="center"/>
                        </w:pPr>
                      </w:p>
                    </w:txbxContent>
                  </v:textbox>
                </v:shape>
              </v:group>
            </w:pict>
          </mc:Fallback>
        </mc:AlternateContent>
      </w:r>
      <w:r>
        <w:rPr>
          <w:rFonts w:ascii="楷体_GB2312" w:hAnsi="楷体_GB2312" w:eastAsia="楷体_GB2312" w:cs="DengXian-Bold"/>
          <w:b/>
          <w:bCs/>
          <w:sz w:val="32"/>
          <w:szCs w:val="32"/>
          <w:lang w:val="en-US" w:eastAsia="zh-CN"/>
        </w:rPr>
        <w:t xml:space="preserve"> </w:t>
      </w:r>
      <w:r>
        <w:rPr>
          <w:rFonts w:ascii="楷体_GB2312" w:hAnsi="楷体_GB2312" w:eastAsia="楷体_GB2312" w:cs="DengXian-Bold"/>
          <w:b/>
          <w:bCs/>
          <w:sz w:val="32"/>
          <w:szCs w:val="32"/>
        </w:rPr>
        <w:t>（四）一般公共预算基本支出决算情况说明</w:t>
      </w:r>
    </w:p>
    <w:p>
      <w:pPr>
        <w:pStyle w:val="4"/>
        <w:bidi w:val="0"/>
        <w:snapToGrid w:val="0"/>
        <w:spacing w:beforeLines="0" w:beforeAutospacing="0" w:after="0" w:afterAutospacing="0" w:line="580" w:lineRule="exact"/>
        <w:ind w:firstLine="640" w:firstLineChars="200"/>
        <w:rPr>
          <w:rFonts w:ascii="仿宋_GB2312" w:hAnsi="仿宋_GB2312" w:eastAsia="仿宋_GB2312" w:cs="DengXian-Regular"/>
          <w:sz w:val="32"/>
          <w:szCs w:val="32"/>
        </w:rPr>
      </w:pPr>
      <w:r>
        <w:rPr>
          <w:rFonts w:ascii="仿宋_GB2312" w:hAnsi="仿宋_GB2312" w:eastAsia="仿宋_GB2312" w:cs="DengXian-Regular"/>
          <w:sz w:val="32"/>
          <w:szCs w:val="32"/>
        </w:rPr>
        <w:t>2018 年度财政拨款基本支出5545</w:t>
      </w:r>
      <w:r>
        <w:rPr>
          <w:rFonts w:ascii="仿宋" w:hAnsi="仿宋" w:eastAsia="仿宋"/>
          <w:sz w:val="32"/>
          <w:szCs w:val="32"/>
        </w:rPr>
        <w:t>.</w:t>
      </w:r>
      <w:r>
        <w:rPr>
          <w:rFonts w:ascii="仿宋_GB2312" w:hAnsi="仿宋_GB2312" w:eastAsia="仿宋_GB2312" w:cs="DengXian-Regular"/>
          <w:sz w:val="32"/>
          <w:szCs w:val="32"/>
        </w:rPr>
        <w:t>88万元，其中：人员经费4324</w:t>
      </w:r>
      <w:r>
        <w:rPr>
          <w:rFonts w:ascii="仿宋" w:hAnsi="仿宋" w:eastAsia="仿宋"/>
          <w:sz w:val="32"/>
          <w:szCs w:val="32"/>
        </w:rPr>
        <w:t>.9</w:t>
      </w:r>
      <w:r>
        <w:rPr>
          <w:rFonts w:ascii="仿宋_GB2312" w:hAnsi="仿宋_GB2312" w:eastAsia="仿宋_GB2312" w:cs="DengXian-Regular"/>
          <w:sz w:val="32"/>
          <w:szCs w:val="32"/>
        </w:rPr>
        <w:t>7万元，主要包括基本工资、津贴补贴、奖金绩效工资、机关事业单位基本养老保险缴费、职业年金缴费、职工基本医疗保险缴费、公务员医疗补助缴费、住房公积金、其他社会保障缴费、其他工资福利支出、离休费、退休费、抚恤金、生活补助、医疗费补助、奖励金、其他对个人和家庭的补助支出；公用经费1220</w:t>
      </w:r>
      <w:r>
        <w:rPr>
          <w:rFonts w:ascii="仿宋" w:hAnsi="仿宋" w:eastAsia="仿宋"/>
          <w:sz w:val="32"/>
          <w:szCs w:val="32"/>
        </w:rPr>
        <w:t>.9</w:t>
      </w:r>
      <w:r>
        <w:rPr>
          <w:rFonts w:ascii="仿宋_GB2312" w:hAnsi="仿宋_GB2312" w:eastAsia="仿宋_GB2312" w:cs="DengXian-Regular"/>
          <w:sz w:val="32"/>
          <w:szCs w:val="32"/>
        </w:rPr>
        <w:t>1万元，主要包括办公费、印刷费、手续费、水费、电费、邮电费、取暖费、物业管理费、差旅费、维修（护）费、租赁费、会议费、培训费、公务接待费、劳务费、委托业务费、工会经费、福利费、公务用车运行维护费、其他交通费用、其他商品和服务支出、办公设备购置、专用设备购置、信息网络及软件购置更新。</w:t>
      </w:r>
    </w:p>
    <w:p>
      <w:pPr>
        <w:pStyle w:val="6"/>
        <w:bidi w:val="0"/>
        <w:spacing w:before="0" w:beforeAutospacing="0" w:after="0" w:afterAutospacing="0" w:line="580" w:lineRule="exact"/>
        <w:ind w:firstLine="640" w:firstLineChars="200"/>
        <w:rPr>
          <w:rFonts w:ascii="黑体" w:hAnsi="黑体" w:eastAsia="黑体"/>
          <w:b w:val="0"/>
          <w:bCs w:val="0"/>
        </w:rPr>
      </w:pPr>
      <w:r>
        <w:rPr>
          <w:rFonts w:ascii="黑体" w:hAnsi="黑体" w:eastAsia="黑体"/>
          <w:b w:val="0"/>
          <w:bCs w:val="0"/>
        </w:rPr>
        <w:t>五、一般公共预算“三公” 经费支出决算情况说明</w:t>
      </w:r>
    </w:p>
    <w:p>
      <w:pPr>
        <w:pStyle w:val="4"/>
        <w:bidi w:val="0"/>
        <w:snapToGrid w:val="0"/>
        <w:spacing w:beforeLines="0" w:beforeAutospacing="0" w:after="0" w:afterAutospacing="0" w:line="580" w:lineRule="exact"/>
        <w:ind w:firstLine="640" w:firstLineChars="200"/>
        <w:rPr>
          <w:rFonts w:ascii="仿宋_GB2312" w:hAnsi="仿宋_GB2312" w:eastAsia="仿宋_GB2312" w:cs="仿宋_GB2312"/>
          <w:b w:val="0"/>
          <w:bCs w:val="0"/>
          <w:sz w:val="32"/>
          <w:szCs w:val="32"/>
        </w:rPr>
      </w:pPr>
      <w:r>
        <w:rPr>
          <w:rFonts w:ascii="仿宋_GB2312" w:hAnsi="仿宋_GB2312" w:eastAsia="仿宋_GB2312" w:cs="DengXian-Regular"/>
          <w:sz w:val="32"/>
          <w:szCs w:val="32"/>
        </w:rPr>
        <w:t>本部门2018年度“三公”经费支出共计80</w:t>
      </w:r>
      <w:r>
        <w:rPr>
          <w:rFonts w:ascii="仿宋" w:hAnsi="仿宋" w:eastAsia="仿宋"/>
          <w:sz w:val="32"/>
          <w:szCs w:val="32"/>
        </w:rPr>
        <w:t>.9</w:t>
      </w:r>
      <w:r>
        <w:rPr>
          <w:rFonts w:ascii="仿宋_GB2312" w:hAnsi="仿宋_GB2312" w:eastAsia="仿宋_GB2312" w:cs="DengXian-Regular"/>
          <w:sz w:val="32"/>
          <w:szCs w:val="32"/>
        </w:rPr>
        <w:t>8万元，</w:t>
      </w:r>
      <w:r>
        <w:rPr>
          <w:rFonts w:ascii="仿宋_GB2312" w:hAnsi="仿宋_GB2312" w:eastAsia="仿宋_GB2312" w:cs="仿宋_GB2312"/>
          <w:b w:val="0"/>
          <w:bCs w:val="0"/>
          <w:sz w:val="32"/>
          <w:szCs w:val="32"/>
        </w:rPr>
        <w:t>较年初预算131.03万元减少49.05万元，降低37.43%，主要是压缩控制“三公”经费支出的结果；较2017年度支出 119.72万元减少38.74万元，降低32.36%。具体情况如下：</w:t>
      </w:r>
    </w:p>
    <w:p>
      <w:pPr>
        <w:pStyle w:val="4"/>
        <w:bidi w:val="0"/>
        <w:snapToGrid w:val="0"/>
        <w:spacing w:beforeLines="0" w:beforeAutospacing="0" w:after="0" w:afterAutospacing="0" w:line="360" w:lineRule="auto"/>
        <w:ind w:firstLine="642" w:firstLineChars="200"/>
        <w:rPr>
          <w:rFonts w:ascii="仿宋" w:hAnsi="仿宋" w:eastAsia="仿宋" w:cs="DengXian-Regular"/>
          <w:sz w:val="32"/>
          <w:szCs w:val="32"/>
        </w:rPr>
      </w:pPr>
      <w:r>
        <w:rPr>
          <w:rFonts w:ascii="楷体_GB2312" w:hAnsi="楷体_GB2312" w:eastAsia="楷体_GB2312" w:cs="DengXian-Bold"/>
          <w:b/>
          <w:bCs/>
          <w:sz w:val="32"/>
          <w:szCs w:val="32"/>
        </w:rPr>
        <w:t>（一）</w:t>
      </w:r>
      <w:r>
        <w:rPr>
          <w:rFonts w:ascii="仿宋" w:hAnsi="仿宋" w:eastAsia="仿宋" w:cs="DengXian-Bold"/>
          <w:b/>
          <w:bCs/>
          <w:sz w:val="32"/>
          <w:szCs w:val="32"/>
        </w:rPr>
        <w:t>因公出国（境）费支出0万元。</w:t>
      </w:r>
      <w:r>
        <w:rPr>
          <w:rFonts w:ascii="仿宋" w:hAnsi="仿宋" w:eastAsia="仿宋" w:cs="DengXian-Regular"/>
          <w:sz w:val="32"/>
          <w:szCs w:val="32"/>
        </w:rPr>
        <w:t>本部门2018年度因公出国（境）</w:t>
      </w:r>
      <w:r>
        <w:rPr>
          <w:rFonts w:ascii="仿宋" w:hAnsi="仿宋" w:eastAsia="仿宋" w:cs="DengXian-Regular"/>
          <w:sz w:val="32"/>
          <w:szCs w:val="32"/>
          <w:lang w:eastAsia="zh-CN"/>
        </w:rPr>
        <w:t>组团</w:t>
      </w:r>
      <w:r>
        <w:rPr>
          <w:rFonts w:ascii="仿宋" w:hAnsi="仿宋" w:eastAsia="仿宋" w:cs="DengXian-Regular"/>
          <w:sz w:val="32"/>
          <w:szCs w:val="32"/>
          <w:lang w:val="en-US" w:eastAsia="zh-CN"/>
        </w:rPr>
        <w:t>0个、共0人，</w:t>
      </w:r>
      <w:r>
        <w:rPr>
          <w:rFonts w:ascii="仿宋" w:hAnsi="仿宋" w:eastAsia="仿宋" w:cs="DengXian-Regular"/>
          <w:sz w:val="32"/>
          <w:szCs w:val="32"/>
        </w:rPr>
        <w:t>因公出国（境）费</w:t>
      </w:r>
      <w:r>
        <w:rPr>
          <w:rFonts w:ascii="仿宋" w:hAnsi="仿宋" w:eastAsia="仿宋" w:cs="DengXian-Regular"/>
          <w:color w:val="000000"/>
          <w:sz w:val="32"/>
          <w:szCs w:val="32"/>
          <w:lang w:eastAsia="zh-CN"/>
        </w:rPr>
        <w:t>支出</w:t>
      </w:r>
      <w:r>
        <w:rPr>
          <w:rFonts w:ascii="仿宋" w:hAnsi="仿宋" w:eastAsia="仿宋" w:cs="DengXian-Regular"/>
          <w:color w:val="000000"/>
          <w:sz w:val="32"/>
          <w:szCs w:val="32"/>
        </w:rPr>
        <w:t>0</w:t>
      </w:r>
      <w:r>
        <w:rPr>
          <w:rFonts w:ascii="仿宋" w:hAnsi="仿宋" w:eastAsia="仿宋" w:cs="DengXian-Regular"/>
          <w:color w:val="000000"/>
          <w:sz w:val="32"/>
          <w:szCs w:val="32"/>
          <w:lang w:eastAsia="zh-CN"/>
        </w:rPr>
        <w:t>万元，与年初预算相同</w:t>
      </w:r>
      <w:r>
        <w:rPr>
          <w:rFonts w:ascii="仿宋" w:hAnsi="仿宋" w:eastAsia="仿宋" w:cs="DengXian-Regular"/>
          <w:color w:val="000000"/>
          <w:sz w:val="32"/>
          <w:szCs w:val="32"/>
        </w:rPr>
        <w:t>。</w:t>
      </w:r>
    </w:p>
    <w:p>
      <w:pPr>
        <w:pStyle w:val="4"/>
        <w:bidi w:val="0"/>
        <w:snapToGrid w:val="0"/>
        <w:spacing w:beforeLines="0" w:beforeAutospacing="0" w:after="0" w:afterAutospacing="0" w:line="580" w:lineRule="exact"/>
        <w:ind w:firstLine="642" w:firstLineChars="200"/>
        <w:rPr>
          <w:rFonts w:ascii="仿宋_GB2312" w:hAnsi="仿宋_GB2312" w:eastAsia="仿宋_GB2312" w:cs="仿宋_GB2312"/>
          <w:b/>
          <w:bCs/>
          <w:sz w:val="32"/>
          <w:szCs w:val="32"/>
        </w:rPr>
      </w:pPr>
      <w:r>
        <w:rPr>
          <w:rFonts w:ascii="仿宋" w:hAnsi="仿宋" w:eastAsia="仿宋" w:cs="DengXian-Bold"/>
          <w:b/>
          <w:bCs/>
          <w:sz w:val="32"/>
          <w:szCs w:val="32"/>
        </w:rPr>
        <w:t>（</w:t>
      </w:r>
      <w:r>
        <mc:AlternateContent>
          <mc:Choice Requires="wpg">
            <w:drawing>
              <wp:anchor distT="0" distB="0" distL="114300" distR="114300" simplePos="0" relativeHeight="1024" behindDoc="1" locked="0" layoutInCell="0" allowOverlap="1">
                <wp:simplePos x="0" y="0"/>
                <wp:positionH relativeFrom="column">
                  <wp:posOffset>351790</wp:posOffset>
                </wp:positionH>
                <wp:positionV relativeFrom="page">
                  <wp:posOffset>918845</wp:posOffset>
                </wp:positionV>
                <wp:extent cx="2473960" cy="12065"/>
                <wp:effectExtent l="0" t="0" r="0" b="0"/>
                <wp:wrapNone/>
                <wp:docPr id="55" name="组合 1100"/>
                <wp:cNvGraphicFramePr/>
                <a:graphic xmlns:a="http://schemas.openxmlformats.org/drawingml/2006/main">
                  <a:graphicData uri="http://schemas.microsoft.com/office/word/2010/wordprocessingGroup">
                    <wpg:wgp>
                      <wpg:cNvGrpSpPr/>
                      <wpg:grpSpPr>
                        <a:xfrm>
                          <a:off x="0" y="0"/>
                          <a:ext cx="2473200" cy="11520"/>
                          <a:chOff x="0" y="0"/>
                          <a:chExt cx="2473200" cy="11520"/>
                        </a:xfrm>
                      </wpg:grpSpPr>
                      <wps:wsp>
                        <wps:cNvPr id="56" name="矩形 56"/>
                        <wps:cNvSpPr/>
                        <wps:spPr>
                          <a:xfrm>
                            <a:off x="0" y="0"/>
                            <a:ext cx="2473200" cy="11520"/>
                          </a:xfrm>
                          <a:prstGeom prst="rect">
                            <a:avLst/>
                          </a:prstGeom>
                          <a:solidFill>
                            <a:srgbClr val="AD002D"/>
                          </a:solidFill>
                          <a:ln w="0">
                            <a:solidFill>
                              <a:srgbClr val="AF7621"/>
                            </a:solidFill>
                          </a:ln>
                        </wps:spPr>
                        <wps:bodyPr/>
                      </wps:wsp>
                      <wps:wsp>
                        <wps:cNvPr id="57" name="饼形 57"/>
                        <wps:cNvSpPr/>
                        <wps:spPr>
                          <a:xfrm>
                            <a:off x="-1359000" y="-546840"/>
                            <a:ext cx="720" cy="0"/>
                          </a:xfrm>
                          <a:prstGeom prst="pie">
                            <a:avLst/>
                          </a:prstGeom>
                          <a:noFill/>
                          <a:ln w="0">
                            <a:noFill/>
                          </a:ln>
                        </wps:spPr>
                        <wps:style>
                          <a:lnRef idx="0">
                            <a:srgbClr val="FFFFFF"/>
                          </a:lnRef>
                          <a:fillRef idx="0">
                            <a:srgbClr val="FFFFFF"/>
                          </a:fillRef>
                          <a:effectRef idx="0">
                            <a:srgbClr val="FFFFFF"/>
                          </a:effectRef>
                          <a:fontRef idx="minor"/>
                        </wps:style>
                        <wps:txb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2018年度部门决算☞部门决算情况说明</w:t>
                              </w:r>
                            </w:p>
                            <w:p>
                              <w:pPr>
                                <w:overflowPunct w:val="0"/>
                                <w:bidi w:val="0"/>
                                <w:spacing w:beforeLines="0" w:beforeAutospacing="0" w:afterLines="0" w:afterAutospacing="0" w:line="240" w:lineRule="auto"/>
                                <w:jc w:val="center"/>
                              </w:pPr>
                            </w:p>
                          </w:txbxContent>
                        </wps:txbx>
                        <wps:bodyPr>
                          <a:noAutofit/>
                        </wps:bodyPr>
                      </wps:wsp>
                    </wpg:wgp>
                  </a:graphicData>
                </a:graphic>
              </wp:anchor>
            </w:drawing>
          </mc:Choice>
          <mc:Fallback>
            <w:pict>
              <v:group id="组合 1100" o:spid="_x0000_s1026" o:spt="203" style="position:absolute;left:0pt;margin-left:27.7pt;margin-top:72.35pt;height:0.95pt;width:194.8pt;mso-position-vertical-relative:page;z-index:-503315456;mso-width-relative:page;mso-height-relative:page;" coordsize="2473200,11520" o:allowincell="f" o:gfxdata="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735b2AAAAAoBAAAPAAAAAAAAAAEAIAAAADgAAABkcnMvZG93bnJldi54bWxQSwECFAAU&#10;AAAACACHTuJAG52oNE0CAADiBQAADgAAAAAAAAABACAAAAA9AQAAZHJzL2Uyb0RvYy54bWxQSwUG&#10;AAAAAAYABgBZAQAA/AUAAAAA&#10;">
                <o:lock v:ext="edit" aspectratio="f"/>
                <v:rect id="_x0000_s1026" o:spid="_x0000_s1026" o:spt="1" style="position:absolute;left:0;top:0;height:11520;width:2473200;" fillcolor="#AD002D" filled="t" stroked="t" coordsize="21600,21600" o:gfxdata="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cfj4KvwAAANsAAAAPAAAAAAAAAAEAIAAAADgAAABkcnMvZG93bnJl&#10;di54bWxQSwECFAAUAAAACACHTuJAMy8FnjsAAAA5AAAAEAAAAAAAAAABACAAAAAkAQAAZHJzL3No&#10;YXBleG1sLnhtbFBLBQYAAAAABgAGAFsBAADOAwAAAAA=&#10;">
                  <v:fill on="t" focussize="0,0"/>
                  <v:stroke weight="0pt" color="#AF7621" joinstyle="round"/>
                  <v:imagedata o:title=""/>
                  <o:lock v:ext="edit" aspectratio="f"/>
                </v:rect>
                <v:shape id="_x0000_s1026" o:spid="_x0000_s1026" style="position:absolute;left:-1359000;top:-546840;height:0;width:720;" filled="f" stroked="f" coordsize="720,0" o:gfxdata="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x+SdPMAAAADbAAAADwAAAAAAAAABACAAAAA4AAAAZHJzL2Rvd25y&#10;ZXYueG1sUEsBAhQAFAAAAAgAh07iQDMvBZ47AAAAOQAAABAAAAAAAAAAAQAgAAAAJQEAAGRycy9z&#10;aGFwZXhtbC54bWxQSwUGAAAAAAYABgBbAQAAzwMAAAAA&#10;" path="m720,0c720,0,559,0,360,0c161,0,0,0,0,0c0,0,161,0,360,0l360,0xe">
                  <v:path textboxrect="0,0,720,0" o:connectlocs="720,0;360,0;0,0;360,0" o:connectangles="0,82,164,247"/>
                  <v:fill on="f" focussize="0,0"/>
                  <v:stroke on="f" weight="0pt"/>
                  <v:imagedata o:title=""/>
                  <o:lock v:ext="edit" aspectratio="f"/>
                  <v:textbo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2018年度部门决算☞部门决算情况说明</w:t>
                        </w:r>
                      </w:p>
                      <w:p>
                        <w:pPr>
                          <w:overflowPunct w:val="0"/>
                          <w:bidi w:val="0"/>
                          <w:spacing w:beforeLines="0" w:beforeAutospacing="0" w:afterLines="0" w:afterAutospacing="0" w:line="240" w:lineRule="auto"/>
                          <w:jc w:val="center"/>
                        </w:pPr>
                      </w:p>
                    </w:txbxContent>
                  </v:textbox>
                </v:shape>
              </v:group>
            </w:pict>
          </mc:Fallback>
        </mc:AlternateContent>
      </w:r>
      <w:r>
        <w:rPr>
          <w:rFonts w:ascii="楷体_GB2312" w:hAnsi="楷体_GB2312" w:eastAsia="楷体_GB2312" w:cs="楷体_GB2312"/>
          <w:sz w:val="32"/>
          <w:szCs w:val="32"/>
          <w:lang w:eastAsia="zh-CN"/>
        </w:rPr>
        <w:t>二</w:t>
      </w:r>
      <w:r>
        <w:rPr>
          <w:rFonts w:ascii="仿宋" w:hAnsi="仿宋" w:eastAsia="仿宋" w:cs="DengXian-Bold"/>
          <w:b/>
          <w:bCs/>
          <w:sz w:val="32"/>
          <w:szCs w:val="32"/>
        </w:rPr>
        <w:t>）</w:t>
      </w:r>
      <w:r>
        <w:rPr>
          <w:rFonts w:ascii="楷体_GB2312" w:hAnsi="楷体_GB2312" w:eastAsia="楷体_GB2312" w:cs="DengXian-Bold"/>
          <w:b/>
          <w:bCs/>
          <w:sz w:val="32"/>
          <w:szCs w:val="32"/>
        </w:rPr>
        <w:t>公务用车购置及运行维护费支出</w:t>
      </w:r>
      <w:r>
        <w:rPr>
          <w:rFonts w:ascii="Calibri" w:hAnsi="Calibri" w:eastAsia="楷体_GB2312" w:cs="Calibri"/>
          <w:b/>
          <w:bCs/>
          <w:sz w:val="32"/>
          <w:szCs w:val="32"/>
        </w:rPr>
        <w:t>79.16</w:t>
      </w:r>
      <w:r>
        <w:rPr>
          <w:rFonts w:ascii="楷体_GB2312" w:hAnsi="楷体_GB2312" w:eastAsia="楷体_GB2312" w:cs="DengXian-Bold"/>
          <w:b/>
          <w:bCs/>
          <w:sz w:val="32"/>
          <w:szCs w:val="32"/>
        </w:rPr>
        <w:t>万元。</w:t>
      </w:r>
      <w:r>
        <w:rPr>
          <w:rFonts w:ascii="仿宋_GB2312" w:hAnsi="仿宋_GB2312" w:eastAsia="仿宋_GB2312" w:cs="DengXian-Regular"/>
          <w:sz w:val="32"/>
          <w:szCs w:val="32"/>
        </w:rPr>
        <w:t>本部门</w:t>
      </w:r>
      <w:r>
        <w:rPr>
          <w:rFonts w:ascii="仿宋_GB2312" w:hAnsi="仿宋_GB2312" w:eastAsia="仿宋_GB2312" w:cs="仿宋_GB2312"/>
          <w:sz w:val="32"/>
          <w:szCs w:val="32"/>
        </w:rPr>
        <w:t>2018年度公务用车购置及运行维护费较年初预算减少</w:t>
      </w:r>
      <w:r>
        <w:rPr>
          <w:rFonts w:ascii="仿宋_GB2312" w:hAnsi="仿宋_GB2312" w:eastAsia="仿宋_GB2312" w:cs="仿宋_GB2312"/>
          <w:bCs/>
          <w:sz w:val="32"/>
          <w:szCs w:val="32"/>
        </w:rPr>
        <w:t>46.34</w:t>
      </w:r>
      <w:r>
        <w:rPr>
          <w:rFonts w:ascii="仿宋_GB2312" w:hAnsi="仿宋_GB2312" w:eastAsia="仿宋_GB2312" w:cs="仿宋_GB2312"/>
          <w:sz w:val="32"/>
          <w:szCs w:val="32"/>
        </w:rPr>
        <w:t>万元，降低36.92%,主要是压缩控制</w:t>
      </w:r>
      <w:r>
        <w:rPr>
          <w:rFonts w:ascii="仿宋_GB2312" w:hAnsi="仿宋_GB2312" w:eastAsia="仿宋_GB2312" w:cs="仿宋_GB2312"/>
          <w:bCs/>
          <w:sz w:val="32"/>
          <w:szCs w:val="32"/>
        </w:rPr>
        <w:t>公务用车购置及运行维护费</w:t>
      </w:r>
      <w:r>
        <w:rPr>
          <w:rFonts w:ascii="仿宋_GB2312" w:hAnsi="仿宋_GB2312" w:eastAsia="仿宋_GB2312" w:cs="仿宋_GB2312"/>
          <w:sz w:val="32"/>
          <w:szCs w:val="32"/>
        </w:rPr>
        <w:t>支出的结果；较上年减少35.23万元，降低30.80%。</w:t>
      </w:r>
      <w:r>
        <w:rPr>
          <w:rFonts w:ascii="仿宋_GB2312" w:hAnsi="仿宋_GB2312" w:eastAsia="仿宋_GB2312" w:cs="仿宋_GB2312"/>
          <w:b/>
          <w:bCs/>
          <w:sz w:val="32"/>
          <w:szCs w:val="32"/>
        </w:rPr>
        <w:t>其中：</w:t>
      </w:r>
    </w:p>
    <w:p>
      <w:pPr>
        <w:pStyle w:val="4"/>
        <w:bidi w:val="0"/>
        <w:snapToGrid w:val="0"/>
        <w:spacing w:beforeLines="0" w:beforeAutospacing="0" w:after="0" w:afterAutospacing="0" w:line="580" w:lineRule="exact"/>
        <w:ind w:firstLine="642" w:firstLineChars="200"/>
        <w:rPr>
          <w:rFonts w:ascii="仿宋_GB2312" w:hAnsi="仿宋_GB2312" w:eastAsia="仿宋_GB2312" w:cs="仿宋_GB2312"/>
          <w:sz w:val="32"/>
          <w:szCs w:val="32"/>
        </w:rPr>
      </w:pPr>
      <w:r>
        <w:rPr>
          <w:rFonts w:ascii="仿宋_GB2312" w:hAnsi="仿宋_GB2312" w:eastAsia="仿宋_GB2312" w:cs="DengXian-Regular"/>
          <w:b/>
          <w:sz w:val="32"/>
          <w:szCs w:val="32"/>
        </w:rPr>
        <w:t>公务用车运行维护费：</w:t>
      </w:r>
      <w:r>
        <w:rPr>
          <w:rFonts w:ascii="仿宋_GB2312" w:hAnsi="仿宋_GB2312" w:eastAsia="仿宋_GB2312" w:cs="DengXian-Regular"/>
          <w:sz w:val="32"/>
          <w:szCs w:val="32"/>
        </w:rPr>
        <w:t>本部门2018年度单位公务用车保有</w:t>
      </w:r>
      <w:r>
        <w:rPr>
          <w:rFonts w:ascii="仿宋_GB2312" w:hAnsi="仿宋_GB2312" w:eastAsia="仿宋_GB2312" w:cs="仿宋_GB2312"/>
          <w:sz w:val="32"/>
          <w:szCs w:val="32"/>
        </w:rPr>
        <w:t>量26辆。公车运行维护费支出较年初预算减少46.34万元，降低36.92%,主要是压缩控制</w:t>
      </w:r>
      <w:r>
        <w:rPr>
          <w:rFonts w:ascii="仿宋_GB2312" w:hAnsi="仿宋_GB2312" w:eastAsia="仿宋_GB2312" w:cs="仿宋_GB2312"/>
          <w:bCs/>
          <w:sz w:val="32"/>
          <w:szCs w:val="32"/>
        </w:rPr>
        <w:t>公务用车购置及运行维护费</w:t>
      </w:r>
      <w:r>
        <w:rPr>
          <w:rFonts w:ascii="仿宋_GB2312" w:hAnsi="仿宋_GB2312" w:eastAsia="仿宋_GB2312" w:cs="仿宋_GB2312"/>
          <w:sz w:val="32"/>
          <w:szCs w:val="32"/>
        </w:rPr>
        <w:t>支出的结果；较上年减少35.23万元，降低30.80%。</w:t>
      </w:r>
    </w:p>
    <w:p>
      <w:pPr>
        <w:pStyle w:val="4"/>
        <w:bidi w:val="0"/>
        <w:snapToGrid w:val="0"/>
        <w:spacing w:beforeLines="0" w:beforeAutospacing="0" w:after="0" w:afterAutospacing="0" w:line="580" w:lineRule="exact"/>
        <w:ind w:firstLine="642" w:firstLineChars="200"/>
        <w:rPr>
          <w:rFonts w:ascii="仿宋_GB2312" w:hAnsi="仿宋_GB2312" w:eastAsia="仿宋_GB2312" w:cs="仿宋_GB2312"/>
          <w:sz w:val="32"/>
          <w:szCs w:val="32"/>
        </w:rPr>
      </w:pPr>
      <w:r>
        <w:rPr>
          <w:rFonts w:ascii="楷体" w:hAnsi="楷体" w:eastAsia="楷体" w:cs="DengXian-Bold"/>
          <w:b/>
          <w:bCs w:val="0"/>
          <w:sz w:val="32"/>
          <w:szCs w:val="32"/>
        </w:rPr>
        <w:t>（三）公务接待费支出</w:t>
      </w:r>
      <w:r>
        <w:rPr>
          <w:rFonts w:ascii="楷体" w:hAnsi="楷体" w:eastAsia="楷体" w:cs="Calibri"/>
          <w:b/>
          <w:bCs w:val="0"/>
          <w:sz w:val="32"/>
          <w:szCs w:val="32"/>
        </w:rPr>
        <w:t>1.82</w:t>
      </w:r>
      <w:r>
        <w:rPr>
          <w:rFonts w:ascii="楷体" w:hAnsi="楷体" w:eastAsia="楷体" w:cs="DengXian-Bold"/>
          <w:b/>
          <w:bCs w:val="0"/>
          <w:sz w:val="32"/>
          <w:szCs w:val="32"/>
        </w:rPr>
        <w:t>万元。</w:t>
      </w:r>
      <w:r>
        <mc:AlternateContent>
          <mc:Choice Requires="wpg">
            <w:drawing>
              <wp:anchor distT="0" distB="0" distL="114300" distR="114300" simplePos="0" relativeHeight="1024" behindDoc="1" locked="0" layoutInCell="0" allowOverlap="1">
                <wp:simplePos x="0" y="0"/>
                <wp:positionH relativeFrom="column">
                  <wp:posOffset>-1012825</wp:posOffset>
                </wp:positionH>
                <wp:positionV relativeFrom="page">
                  <wp:posOffset>372110</wp:posOffset>
                </wp:positionV>
                <wp:extent cx="3834130" cy="558800"/>
                <wp:effectExtent l="0" t="0" r="0" b="0"/>
                <wp:wrapNone/>
                <wp:docPr id="58" name="组合 1079"/>
                <wp:cNvGraphicFramePr/>
                <a:graphic xmlns:a="http://schemas.openxmlformats.org/drawingml/2006/main">
                  <a:graphicData uri="http://schemas.microsoft.com/office/word/2010/wordprocessingGroup">
                    <wpg:wgp>
                      <wpg:cNvGrpSpPr/>
                      <wpg:grpSpPr>
                        <a:xfrm>
                          <a:off x="0" y="0"/>
                          <a:ext cx="3833640" cy="558000"/>
                          <a:chOff x="0" y="0"/>
                          <a:chExt cx="3833640" cy="558000"/>
                        </a:xfrm>
                      </wpg:grpSpPr>
                      <wps:wsp>
                        <wps:cNvPr id="59" name="矩形 59"/>
                        <wps:cNvSpPr/>
                        <wps:spPr>
                          <a:xfrm>
                            <a:off x="0" y="0"/>
                            <a:ext cx="3833640" cy="469440"/>
                          </a:xfrm>
                          <a:prstGeom prst="rect">
                            <a:avLst/>
                          </a:prstGeom>
                          <a:solidFill>
                            <a:srgbClr val="D8D8D8"/>
                          </a:solidFill>
                          <a:ln w="0">
                            <a:noFill/>
                          </a:ln>
                        </wps:spPr>
                        <wps:bodyPr/>
                      </wps:wsp>
                      <wps:wsp>
                        <wps:cNvPr id="60" name="文本框 60"/>
                        <wps:cNvSpPr txBox="true"/>
                        <wps:spPr>
                          <a:xfrm>
                            <a:off x="11520" y="109800"/>
                            <a:ext cx="3733920" cy="448200"/>
                          </a:xfrm>
                          <a:prstGeom prst="rect">
                            <a:avLst/>
                          </a:prstGeom>
                          <a:solidFill>
                            <a:srgbClr val="AD002D"/>
                          </a:solidFill>
                          <a:ln w="25560">
                            <a:solidFill>
                              <a:srgbClr val="AF7621"/>
                            </a:solidFill>
                            <a:round/>
                          </a:ln>
                        </wps:spPr>
                        <wps:txb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2018年度部门决算☞部门决算情况说明</w:t>
                              </w:r>
                            </w:p>
                            <w:p>
                              <w:pPr>
                                <w:overflowPunct w:val="0"/>
                                <w:bidi w:val="0"/>
                                <w:spacing w:beforeLines="0" w:beforeAutospacing="0" w:afterLines="0" w:afterAutospacing="0" w:line="240" w:lineRule="auto"/>
                                <w:jc w:val="center"/>
                              </w:pPr>
                            </w:p>
                          </w:txbxContent>
                        </wps:txbx>
                        <wps:bodyPr wrap="square">
                          <a:noAutofit/>
                        </wps:bodyPr>
                      </wps:wsp>
                    </wpg:wgp>
                  </a:graphicData>
                </a:graphic>
              </wp:anchor>
            </w:drawing>
          </mc:Choice>
          <mc:Fallback>
            <w:pict>
              <v:group id="组合 1079" o:spid="_x0000_s1026" o:spt="203" style="position:absolute;left:0pt;margin-left:-79.75pt;margin-top:29.3pt;height:44pt;width:301.9pt;mso-position-vertical-relative:page;z-index:-503315456;mso-width-relative:page;mso-height-relative:page;" coordsize="3833640,558000" o:allowincell="f" o:gfxdata="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WAAAAZHJzL1BLAQIUABQAAAAIAIdO&#10;4kCd5KZv2wAAAAsBAAAPAAAAAAAAAAEAIAAAADgAAABkcnMvZG93bnJldi54bWxQSwECFAAUAAAA&#10;CACHTuJAMIgcr4ACAABABgAADgAAAAAAAAABACAAAABAAQAAZHJzL2Uyb0RvYy54bWxQSwUGAAAA&#10;AAYABgBZAQAAMgYAAAAA&#10;">
                <o:lock v:ext="edit" aspectratio="f"/>
                <v:rect id="_x0000_s1026" o:spid="_x0000_s1026" o:spt="1" style="position:absolute;left:0;top:0;height:469440;width:3833640;" fillcolor="#D8D8D8" filled="t" stroked="f" coordsize="21600,21600" o:gfxdata="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7557Bb0AAADbAAAADwAAAAAAAAABACAAAAA4AAAAZHJzL2Rvd25yZXYu&#10;eG1sUEsBAhQAFAAAAAgAh07iQDMvBZ47AAAAOQAAABAAAAAAAAAAAQAgAAAAIgEAAGRycy9zaGFw&#10;ZXhtbC54bWxQSwUGAAAAAAYABgBbAQAAzAMAAAAA&#10;">
                  <v:fill on="t" focussize="0,0"/>
                  <v:stroke on="f" weight="0pt"/>
                  <v:imagedata o:title=""/>
                  <o:lock v:ext="edit" aspectratio="f"/>
                </v:rect>
                <v:shape id="_x0000_s1026" o:spid="_x0000_s1026" o:spt="202" type="#_x0000_t202" style="position:absolute;left:11520;top:109800;height:448200;width:3733920;" fillcolor="#AD002D" filled="t" stroked="t" coordsize="21600,21600" o:gfxdata="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7smXBuQAAANsAAAAPAAAAAAAAAAEAIAAAADgAAABkcnMvZG93bnJldi54bWxQ&#10;SwECFAAUAAAACACHTuJAMy8FnjsAAAA5AAAAEAAAAAAAAAABACAAAAAeAQAAZHJzL3NoYXBleG1s&#10;LnhtbFBLBQYAAAAABgAGAFsBAADIAwAAAAA=&#10;">
                  <v:fill on="t" focussize="0,0"/>
                  <v:stroke weight="2.01259842519685pt" color="#AF7621" joinstyle="round"/>
                  <v:imagedata o:title=""/>
                  <o:lock v:ext="edit" aspectratio="f"/>
                  <v:textbo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2018年度部门决算☞部门决算情况说明</w:t>
                        </w:r>
                      </w:p>
                      <w:p>
                        <w:pPr>
                          <w:overflowPunct w:val="0"/>
                          <w:bidi w:val="0"/>
                          <w:spacing w:beforeLines="0" w:beforeAutospacing="0" w:afterLines="0" w:afterAutospacing="0" w:line="240" w:lineRule="auto"/>
                          <w:jc w:val="center"/>
                        </w:pPr>
                      </w:p>
                    </w:txbxContent>
                  </v:textbox>
                </v:shape>
              </v:group>
            </w:pict>
          </mc:Fallback>
        </mc:AlternateContent>
      </w:r>
      <w:r>
        <w:rPr>
          <w:rFonts w:ascii="仿宋_GB2312" w:hAnsi="仿宋_GB2312" w:eastAsia="仿宋_GB2312" w:cs="DengXian-Regular"/>
          <w:sz w:val="32"/>
          <w:szCs w:val="32"/>
        </w:rPr>
        <w:t>本部门2018年度公务接待共10批次36人次。公务接待费支出较年初预算减少3</w:t>
      </w:r>
      <w:r>
        <w:rPr>
          <w:rFonts w:ascii="仿宋" w:hAnsi="仿宋" w:eastAsia="仿宋"/>
          <w:sz w:val="32"/>
          <w:szCs w:val="32"/>
        </w:rPr>
        <w:t>.</w:t>
      </w:r>
      <w:r>
        <w:rPr>
          <w:rFonts w:ascii="仿宋_GB2312" w:hAnsi="仿宋_GB2312" w:eastAsia="仿宋_GB2312" w:cs="DengXian-Regular"/>
          <w:sz w:val="32"/>
          <w:szCs w:val="32"/>
        </w:rPr>
        <w:t>71万</w:t>
      </w:r>
      <w:r>
        <w:rPr>
          <w:rFonts w:ascii="仿宋_GB2312" w:hAnsi="仿宋_GB2312" w:eastAsia="仿宋_GB2312" w:cs="仿宋_GB2312"/>
          <w:sz w:val="32"/>
          <w:szCs w:val="32"/>
        </w:rPr>
        <w:t>元，降低67.09%；较上年度减少1.34万元，降低42.41%,主要是压减招待标准和减少陪客人员的结果。</w:t>
      </w:r>
    </w:p>
    <w:p>
      <w:pPr>
        <w:pStyle w:val="4"/>
        <w:bidi w:val="0"/>
        <w:snapToGrid w:val="0"/>
        <w:spacing w:beforeLines="0" w:beforeAutospacing="0" w:after="0" w:afterAutospacing="0" w:line="580" w:lineRule="exact"/>
        <w:ind w:firstLine="640" w:firstLineChars="200"/>
        <w:rPr>
          <w:rFonts w:ascii="黑体" w:hAnsi="黑体" w:eastAsia="黑体"/>
          <w:sz w:val="32"/>
          <w:szCs w:val="40"/>
        </w:rPr>
      </w:pPr>
      <w:r>
        <w:rPr>
          <w:rFonts w:ascii="黑体" w:hAnsi="黑体" w:eastAsia="黑体"/>
          <w:sz w:val="32"/>
          <w:szCs w:val="40"/>
        </w:rPr>
        <w:t>六、预算绩效情况说明</w:t>
      </w:r>
    </w:p>
    <w:p>
      <w:pPr>
        <w:pStyle w:val="4"/>
        <w:bidi w:val="0"/>
        <w:snapToGrid w:val="0"/>
        <w:spacing w:beforeLines="0" w:beforeAutospacing="0" w:after="0" w:afterAutospacing="0" w:line="580" w:lineRule="exact"/>
        <w:ind w:firstLine="642" w:firstLineChars="200"/>
        <w:rPr>
          <w:rFonts w:ascii="仿宋_GB2312" w:hAnsi="仿宋_GB2312" w:eastAsia="仿宋_GB2312" w:cs="DengXian-Regular"/>
          <w:b/>
          <w:bCs/>
          <w:sz w:val="32"/>
          <w:szCs w:val="32"/>
        </w:rPr>
      </w:pPr>
      <w:r>
        <w:rPr>
          <w:rFonts w:ascii="仿宋_GB2312" w:hAnsi="仿宋_GB2312" w:eastAsia="仿宋_GB2312" w:cs="DengXian-Regular"/>
          <w:b/>
          <w:bCs/>
          <w:sz w:val="32"/>
          <w:szCs w:val="32"/>
        </w:rPr>
        <w:t>（一）</w:t>
      </w:r>
      <w:r>
        <w:rPr>
          <w:rFonts w:ascii="仿宋_GB2312" w:hAnsi="仿宋_GB2312" w:eastAsia="仿宋_GB2312" w:cs="DengXian-Regular"/>
          <w:b/>
          <w:bCs/>
          <w:sz w:val="32"/>
          <w:szCs w:val="32"/>
          <w:lang w:eastAsia="zh-CN"/>
        </w:rPr>
        <w:t>预算</w:t>
      </w:r>
      <w:r>
        <w:rPr>
          <w:rFonts w:ascii="仿宋_GB2312" w:hAnsi="仿宋_GB2312" w:eastAsia="仿宋_GB2312" w:cs="DengXian-Regular"/>
          <w:b/>
          <w:bCs/>
          <w:sz w:val="32"/>
          <w:szCs w:val="32"/>
        </w:rPr>
        <w:t>绩效管理工作开展情况</w:t>
      </w:r>
      <w:r>
        <w:rPr>
          <w:rFonts w:ascii="仿宋_GB2312" w:hAnsi="仿宋_GB2312" w:eastAsia="仿宋_GB2312" w:cs="DengXian-Regular"/>
          <w:b/>
          <w:bCs/>
          <w:sz w:val="32"/>
          <w:szCs w:val="32"/>
          <w:lang w:eastAsia="zh-CN"/>
        </w:rPr>
        <w:t>。</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0" w:firstLineChars="200"/>
        <w:rPr>
          <w:rFonts w:ascii="仿宋" w:hAnsi="仿宋" w:eastAsia="仿宋"/>
          <w:sz w:val="30"/>
          <w:szCs w:val="30"/>
        </w:rPr>
      </w:pPr>
      <w:r>
        <w:rPr>
          <w:rFonts w:ascii="仿宋" w:hAnsi="仿宋" w:eastAsia="仿宋"/>
          <w:sz w:val="30"/>
          <w:szCs w:val="30"/>
        </w:rPr>
        <w:t>2018年，唐山市工商部门在省局和市委市政府的正确领导下，强化预算管理，完善内控制度，强化资产管理，注重资金使用绩效，注重人才队伍建设，认真履行依法理财、规范管理、服务全局的职能，合理安排资金，严格规范支付手续及管理程序，严密管理环节，严守财经纪律，杜绝不合理开支，严格公务卡结算，确保资金廉洁高效运行；坚持依法管理，规范运转，科学调控的原则，基础工作求实，管理观念求新，预算编制求准，开支把关求细。力争把财务管理工作更上一台阶。</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42" w:firstLineChars="200"/>
        <w:rPr>
          <w:rFonts w:ascii="仿宋" w:hAnsi="仿宋" w:eastAsia="仿宋"/>
          <w:b/>
          <w:sz w:val="30"/>
          <w:szCs w:val="30"/>
        </w:rPr>
      </w:pPr>
      <w:r>
        <w:rPr>
          <w:rFonts w:ascii="仿宋" w:hAnsi="仿宋" w:eastAsia="仿宋"/>
          <w:b/>
          <w:sz w:val="32"/>
          <w:szCs w:val="32"/>
        </w:rPr>
        <w:t>1</w:t>
      </w:r>
      <w:r>
        <w:rPr>
          <w:rFonts w:ascii="仿宋" w:hAnsi="仿宋" w:eastAsia="仿宋"/>
          <w:b/>
          <w:sz w:val="30"/>
          <w:szCs w:val="30"/>
        </w:rPr>
        <w:t>、以优化营商环境为重点，积极开展“双创双服”活动，大力推进</w:t>
      </w:r>
      <w:r>
        <w:rPr>
          <w:rFonts w:hint="eastAsia" w:ascii="仿宋" w:hAnsi="仿宋" w:eastAsia="仿宋"/>
          <w:b/>
          <w:sz w:val="30"/>
          <w:szCs w:val="30"/>
          <w:lang w:eastAsia="zh-CN"/>
        </w:rPr>
        <w:t>“</w:t>
      </w:r>
      <w:r>
        <w:rPr>
          <w:rFonts w:ascii="仿宋" w:hAnsi="仿宋" w:eastAsia="仿宋"/>
          <w:b/>
          <w:sz w:val="30"/>
          <w:szCs w:val="30"/>
        </w:rPr>
        <w:t>放管服</w:t>
      </w:r>
      <w:r>
        <w:rPr>
          <w:rFonts w:hint="eastAsia" w:ascii="仿宋" w:hAnsi="仿宋" w:eastAsia="仿宋"/>
          <w:b/>
          <w:sz w:val="30"/>
          <w:szCs w:val="30"/>
          <w:lang w:eastAsia="zh-CN"/>
        </w:rPr>
        <w:t>”</w:t>
      </w:r>
      <w:r>
        <w:rPr>
          <w:rFonts w:ascii="仿宋" w:hAnsi="仿宋" w:eastAsia="仿宋"/>
          <w:b/>
          <w:sz w:val="30"/>
          <w:szCs w:val="30"/>
        </w:rPr>
        <w:t>改革。</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sz w:val="30"/>
          <w:szCs w:val="30"/>
        </w:rPr>
      </w:pPr>
      <w:r>
        <w:rPr>
          <w:rFonts w:ascii="仿宋" w:hAnsi="仿宋" w:eastAsia="仿宋"/>
          <w:b/>
          <w:sz w:val="30"/>
          <w:szCs w:val="30"/>
        </w:rPr>
        <w:t>一是深化“多证合一”改革。</w:t>
      </w:r>
      <w:r>
        <w:rPr>
          <w:rFonts w:ascii="仿宋" w:hAnsi="仿宋" w:eastAsia="仿宋"/>
          <w:sz w:val="30"/>
          <w:szCs w:val="30"/>
        </w:rPr>
        <w:t>积极推进“多证合一”改革扩容升级，及时推送共享企业注册登记信息，减少企业跑办时间，不断践行“让信息多跑路、让群众少跑腿”的服务承诺。企业注册登记于2018年6月30日实现“五十证合一”，截止12月底，全市共核发“多证合一”营业执照123843个。</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sz w:val="30"/>
          <w:szCs w:val="30"/>
        </w:rPr>
      </w:pPr>
      <w:r>
        <w:rPr>
          <w:rFonts w:ascii="仿宋" w:hAnsi="仿宋" w:eastAsia="仿宋"/>
          <w:b/>
          <w:sz w:val="30"/>
          <w:szCs w:val="30"/>
        </w:rPr>
        <w:t>二是全面推开“证照分离”改革。</w:t>
      </w:r>
      <w:r>
        <w:rPr>
          <w:rFonts w:ascii="仿宋" w:hAnsi="仿宋" w:eastAsia="仿宋"/>
          <w:sz w:val="30"/>
          <w:szCs w:val="30"/>
        </w:rPr>
        <w:t>按照上级部署要求，积极做好首批106项“证照分离”改革，直接取消审批2项，审批改为备案1项，实行告知承诺19项，优化准入服务84项，切实降低了市场准入门槛，有效缓解了“准入不准营”的问题。</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sz w:val="30"/>
          <w:szCs w:val="30"/>
        </w:rPr>
      </w:pPr>
      <w:r>
        <w:rPr>
          <w:rFonts w:ascii="仿宋" w:hAnsi="仿宋" w:eastAsia="仿宋"/>
          <w:b/>
          <w:sz w:val="30"/>
          <w:szCs w:val="30"/>
        </w:rPr>
        <w:t>三是压缩企业开办时间。</w:t>
      </w:r>
      <w:r>
        <w:rPr>
          <w:rFonts w:ascii="仿宋" w:hAnsi="仿宋" w:eastAsia="仿宋"/>
          <w:sz w:val="30"/>
          <w:szCs w:val="30"/>
        </w:rPr>
        <w:t>进一步优化业务流程，统一工作标准，企业开办时间（从设立到具备一般性经营条件所需要的时间）已压缩至8个工作日以内。</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sz w:val="30"/>
          <w:szCs w:val="30"/>
        </w:rPr>
      </w:pPr>
      <w:r>
        <w:rPr>
          <w:rFonts w:ascii="仿宋" w:hAnsi="仿宋" w:eastAsia="仿宋"/>
          <w:b/>
          <w:sz w:val="30"/>
          <w:szCs w:val="30"/>
        </w:rPr>
        <w:t>四是不断推进注册登记便利化。</w:t>
      </w:r>
      <w:r>
        <w:rPr>
          <w:rFonts w:ascii="仿宋" w:hAnsi="仿宋" w:eastAsia="仿宋"/>
          <w:sz w:val="30"/>
          <w:szCs w:val="30"/>
        </w:rPr>
        <w:t>深化“互联网+”服务举措，大力推进企业注册登记全程电子化，让企业办照“最多跑一次”或“一次不用跑”，截止12月底，全市有23户企业通过全程电子化申领营业执照。全面推广个体户“云窗办照”，个体户注册登记实现了手机扫码办理营业执照。积极争取扩大企业名称核准权限，2018年6月1日获得冠“河北”企业名称核准权限，截止12月底，共核准冠“河北”名称企业681户。不断优化服务，坚持全程免费代办，对全市招商引资的重点项目，实行局长挂牌督办制，全力服务唐山重点项目建设。</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sz w:val="30"/>
          <w:szCs w:val="30"/>
        </w:rPr>
      </w:pPr>
      <w:r>
        <w:rPr>
          <w:rFonts w:ascii="仿宋" w:hAnsi="仿宋" w:eastAsia="仿宋"/>
          <w:b/>
          <w:sz w:val="30"/>
          <w:szCs w:val="30"/>
        </w:rPr>
        <w:t>五是积极实施商标品牌战略。</w:t>
      </w:r>
      <w:r>
        <w:rPr>
          <w:rFonts w:ascii="仿宋" w:hAnsi="仿宋" w:eastAsia="仿宋"/>
          <w:sz w:val="30"/>
          <w:szCs w:val="30"/>
        </w:rPr>
        <w:t>大力开展地理标志商标扶贫，引导企业申请马德里国际商标注册，帮助企业争创高知名度的商标，推动唐山产品向唐山品牌迈进。全年共获批驰名商标1件、地理标志商标8件，总数分别达到48件和22件，分列全省第二位和第一位。新增注册商标5951件，总数达30479件。</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sz w:val="30"/>
          <w:szCs w:val="30"/>
        </w:rPr>
      </w:pPr>
      <w:r>
        <w:rPr>
          <w:rFonts w:ascii="仿宋" w:hAnsi="仿宋" w:eastAsia="仿宋"/>
          <w:b/>
          <w:sz w:val="30"/>
          <w:szCs w:val="30"/>
        </w:rPr>
        <w:t>六是大力支持民营经济发展。</w:t>
      </w:r>
      <w:r>
        <w:rPr>
          <w:rFonts w:ascii="仿宋" w:hAnsi="仿宋" w:eastAsia="仿宋"/>
          <w:sz w:val="30"/>
          <w:szCs w:val="30"/>
        </w:rPr>
        <w:t>发挥工商职能，积极帮助企业扩大融资渠道，通过动产抵押、商标权质、股权出质等方式，着力解决企业融资难、融资贵的问题。全年共帮助企业融资603亿元。</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0" w:firstLineChars="200"/>
        <w:rPr>
          <w:rFonts w:ascii="仿宋" w:hAnsi="仿宋" w:eastAsia="仿宋"/>
          <w:sz w:val="30"/>
          <w:szCs w:val="30"/>
        </w:rPr>
      </w:pPr>
      <w:r>
        <w:rPr>
          <w:rFonts w:ascii="仿宋" w:hAnsi="仿宋" w:eastAsia="仿宋"/>
          <w:sz w:val="30"/>
          <w:szCs w:val="30"/>
        </w:rPr>
        <w:t>随着商事制度改革的深化，企业交易的制度性成本逐渐降低，市场活力进一步激发。截止12月底，全年新登记市场主体127511户，同比增长27.35%，完成全年任务的127.51%。其中，企业23645户，同比增长10.18%；个体户102843户，同比增长32.38%；农专社1023户，同比增长4.92%。市场主体总量达到565867户，同比增长16.71%。其中，企业117523户，同比增长16.32%；个体户439164户，同比增长16.99%；农专社9180户，同比增长9.17%。净增市场主体81039户，完成净增任务的154.65%。其中，净增企业16487户，完成净增任务的129.17%。</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b/>
          <w:sz w:val="30"/>
          <w:szCs w:val="30"/>
        </w:rPr>
      </w:pPr>
      <w:r>
        <w:rPr>
          <w:rFonts w:ascii="仿宋" w:hAnsi="仿宋" w:eastAsia="仿宋"/>
          <w:b/>
          <w:sz w:val="30"/>
          <w:szCs w:val="30"/>
        </w:rPr>
        <w:t>2、以全面推进“双随机、一公开”监管为重点，大力加强市场监管，着力营造公平有序的市场竞争环境。</w:t>
      </w:r>
      <w:bookmarkStart w:id="0" w:name="_GoBack"/>
      <w:bookmarkEnd w:id="0"/>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sz w:val="30"/>
          <w:szCs w:val="30"/>
        </w:rPr>
      </w:pPr>
      <w:r>
        <w:rPr>
          <w:rFonts w:ascii="仿宋" w:hAnsi="仿宋" w:eastAsia="仿宋"/>
          <w:b/>
          <w:sz w:val="30"/>
          <w:szCs w:val="30"/>
        </w:rPr>
        <w:t>一是不断加强新型监管机制建设。</w:t>
      </w:r>
      <w:r>
        <w:rPr>
          <w:rFonts w:ascii="仿宋" w:hAnsi="仿宋" w:eastAsia="仿宋"/>
          <w:sz w:val="30"/>
          <w:szCs w:val="30"/>
        </w:rPr>
        <w:t>以健全 “双随机、一公开”监管为基本手段、重点监管为补充、信用监管为基础的新型监管机制为目标，全面推进“双随机、一公开”监管，不断健全完善制度机制，充分发挥牵头作用，大力推进跨部门“双随机”联合抽查。截止12月底，全市共开展“双随机”抽查2014次，跨部门联合抽查40次，检查市场主体23613户，抽查结果全部公示。强化市场主体年报工作，2017年度市场主体年报公示率达87.65%。积极推进信息公示、共享，共公示处罚信息1561条,公示率98%。共向有关部门推送注册登记信息123084条。不断健全完善信用约束机制，全市企业共列异10616条。</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sz w:val="30"/>
          <w:szCs w:val="30"/>
        </w:rPr>
      </w:pPr>
      <w:r>
        <w:rPr>
          <w:rFonts w:ascii="仿宋" w:hAnsi="仿宋" w:eastAsia="仿宋"/>
          <w:b/>
          <w:sz w:val="30"/>
          <w:szCs w:val="30"/>
        </w:rPr>
        <w:t>二是加强重点领域市场监管。</w:t>
      </w:r>
      <w:r>
        <w:rPr>
          <w:rFonts w:ascii="仿宋" w:hAnsi="仿宋" w:eastAsia="仿宋"/>
          <w:sz w:val="30"/>
          <w:szCs w:val="30"/>
        </w:rPr>
        <w:t>积极开展市场秩序优化专项行动，强化竞争执法工作、商标专用权保护和虚假违法广告查处工作。深入开展网剑行动，网络经营主体入库达13971家。截止12月底，市场秩序优化专项行动共查处案件186件，罚没金额345万元，开展行政约谈178次，行政指导733次。</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sz w:val="30"/>
          <w:szCs w:val="30"/>
        </w:rPr>
      </w:pPr>
      <w:r>
        <w:rPr>
          <w:rFonts w:ascii="仿宋" w:hAnsi="仿宋" w:eastAsia="仿宋"/>
          <w:b/>
          <w:sz w:val="30"/>
          <w:szCs w:val="30"/>
        </w:rPr>
        <w:t>三是助力打赢蓝天保卫战。</w:t>
      </w:r>
      <w:r>
        <w:rPr>
          <w:rFonts w:ascii="仿宋" w:hAnsi="仿宋" w:eastAsia="仿宋"/>
          <w:sz w:val="30"/>
          <w:szCs w:val="30"/>
        </w:rPr>
        <w:t>围绕建设生态唐山实现绿色发展，积极做好劣质散煤管控和成品油整治工作。充分发挥牵头和联席会议作用，大力推进散煤集中销售场所建设，严厉打击劣质散煤销售，为改善大气质量添砖加瓦。截止12月底，抽检散煤402个批次、成品油2960个批次，覆盖率均达到100%。共查处案件193起，罚没金额405.3万元。</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sz w:val="30"/>
          <w:szCs w:val="30"/>
        </w:rPr>
      </w:pPr>
      <w:r>
        <w:rPr>
          <w:rFonts w:ascii="仿宋" w:hAnsi="仿宋" w:eastAsia="仿宋"/>
          <w:b/>
          <w:sz w:val="30"/>
          <w:szCs w:val="30"/>
        </w:rPr>
        <w:t>四是开展查处无照经营专项行动。</w:t>
      </w:r>
      <w:r>
        <w:rPr>
          <w:rFonts w:ascii="仿宋" w:hAnsi="仿宋" w:eastAsia="仿宋"/>
          <w:sz w:val="30"/>
          <w:szCs w:val="30"/>
        </w:rPr>
        <w:t>共集中开展2次，检查经营主体24809户，补办营业执照4919户，抄告相关审批或主管部门无证经营25次。查处无照经营户1514户，罚没金额175.6万元。</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b/>
          <w:sz w:val="30"/>
          <w:szCs w:val="30"/>
        </w:rPr>
      </w:pPr>
      <w:r>
        <w:rPr>
          <w:rFonts w:ascii="仿宋" w:hAnsi="仿宋" w:eastAsia="仿宋"/>
          <w:b/>
          <w:sz w:val="30"/>
          <w:szCs w:val="30"/>
        </w:rPr>
        <w:t>3、以加强消费维权为重点，积极开展12315护民生专项行动，不断营造安全放心的市场消费环境。</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sz w:val="30"/>
          <w:szCs w:val="30"/>
        </w:rPr>
      </w:pPr>
      <w:r>
        <w:rPr>
          <w:rFonts w:ascii="仿宋" w:hAnsi="仿宋" w:eastAsia="仿宋"/>
          <w:b/>
          <w:sz w:val="30"/>
          <w:szCs w:val="30"/>
        </w:rPr>
        <w:t>一是不断加大消费维权力度。</w:t>
      </w:r>
      <w:r>
        <w:rPr>
          <w:rFonts w:ascii="仿宋" w:hAnsi="仿宋" w:eastAsia="仿宋"/>
          <w:sz w:val="30"/>
          <w:szCs w:val="30"/>
        </w:rPr>
        <w:t>以“美丽河北·大爱唐山·诚信商家”为主题，全面推进放心消费创建活动。截止目前，全市共建有市级放心消费示范单位31家、县级493家、诚信示范网站43家、维修行业星级服务示范店81家、放心消费进景区实现了全市A级以上旅游景区全覆盖。强化红盾质量维权，截止目前，全市共开展行政约谈109次，查办销售假冒伪劣和不合格商品案件235起，虚假宣传案件30起，合同违法案件18起，其他案件346起，罚没金额460.27万元。</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sz w:val="30"/>
          <w:szCs w:val="30"/>
        </w:rPr>
      </w:pPr>
      <w:r>
        <w:rPr>
          <w:rFonts w:ascii="仿宋" w:hAnsi="仿宋" w:eastAsia="仿宋"/>
          <w:b/>
          <w:sz w:val="30"/>
          <w:szCs w:val="30"/>
        </w:rPr>
        <w:t>二是积极发挥消协组织作用。</w:t>
      </w:r>
      <w:r>
        <w:rPr>
          <w:rFonts w:ascii="仿宋" w:hAnsi="仿宋" w:eastAsia="仿宋"/>
          <w:sz w:val="30"/>
          <w:szCs w:val="30"/>
        </w:rPr>
        <w:t>开展3·15主题宣传日活动，共组织大中型纪念活动91场次，发放宣传材料26万份。加强消费基地建设，积极开展比较试验和消费体察行动，建立消费教育基地７家，发布消费警示6次。全市各级消协共接待消费者来访、咨询9.83万人次，受理消费者投诉4257件，办结率98.1%，为消费者挽回经济损失108万余元。</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sz w:val="30"/>
          <w:szCs w:val="30"/>
        </w:rPr>
      </w:pPr>
      <w:r>
        <w:rPr>
          <w:rFonts w:ascii="仿宋" w:hAnsi="仿宋" w:eastAsia="仿宋"/>
          <w:b/>
          <w:sz w:val="30"/>
          <w:szCs w:val="30"/>
        </w:rPr>
        <w:t>三是畅通消费投诉渠道。</w:t>
      </w:r>
      <w:r>
        <w:rPr>
          <w:rFonts w:ascii="仿宋" w:hAnsi="仿宋" w:eastAsia="仿宋"/>
          <w:sz w:val="30"/>
          <w:szCs w:val="30"/>
        </w:rPr>
        <w:t>大力推进12315“五进”工作，新建消费维权服务站46个，总数达789个。加强12315系统建设，截止12月底，全市12315系统共受理消费者咨询建议和投诉举报41089件，其中咨询31536件；投诉7124件，投诉办结率96.2%；举报2429件，办结率96.5%，为消费者挽回经济损失280万元。</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b/>
          <w:sz w:val="30"/>
          <w:szCs w:val="30"/>
        </w:rPr>
      </w:pPr>
      <w:r>
        <w:rPr>
          <w:rFonts w:ascii="仿宋" w:hAnsi="仿宋" w:eastAsia="仿宋"/>
          <w:b/>
          <w:sz w:val="30"/>
          <w:szCs w:val="30"/>
        </w:rPr>
        <w:t>4、以纠正“四风”为重点，持续加强队伍建设，努力提高干部队伍素质。</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sz w:val="30"/>
          <w:szCs w:val="30"/>
        </w:rPr>
      </w:pPr>
      <w:r>
        <w:rPr>
          <w:rFonts w:ascii="仿宋" w:hAnsi="仿宋" w:eastAsia="仿宋"/>
          <w:b/>
          <w:sz w:val="30"/>
          <w:szCs w:val="30"/>
        </w:rPr>
        <w:t>一是不断深化机关作风建设。</w:t>
      </w:r>
      <w:r>
        <w:rPr>
          <w:rFonts w:ascii="仿宋" w:hAnsi="仿宋" w:eastAsia="仿宋"/>
          <w:sz w:val="30"/>
          <w:szCs w:val="30"/>
        </w:rPr>
        <w:t>深入学习贯彻党的十九大精神，积极推进“两学一做”学习教育常态化制度化。不断加大作风检查督查力度，建立日常检查、重要节日必查和聚焦问题重点检查的监督检查工作机制，全年共查检60多次。认真开展纠正“四风”和作风纪律专项整治，围绕“四风”十种表现，深入开展“十查十改”，广大干部纪律意识明显提高。</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sz w:val="30"/>
          <w:szCs w:val="30"/>
        </w:rPr>
      </w:pPr>
      <w:r>
        <w:rPr>
          <w:rFonts w:ascii="仿宋" w:hAnsi="仿宋" w:eastAsia="仿宋"/>
          <w:b/>
          <w:sz w:val="30"/>
          <w:szCs w:val="30"/>
        </w:rPr>
        <w:t>二是贯彻全面从严治党要求。</w:t>
      </w:r>
      <w:r>
        <w:rPr>
          <w:rFonts w:ascii="仿宋" w:hAnsi="仿宋" w:eastAsia="仿宋"/>
          <w:sz w:val="30"/>
          <w:szCs w:val="30"/>
        </w:rPr>
        <w:t>靠实主体责任，层层签订全面从严治党责任书，严格落实“三重一大”等纪律规定，始终把纪律规矩挺在前面。组织开展“看监狱、算得失”警示教育活动，不断扎紧“制度笼子”，持续加大执纪问责力度，共受理包括市委巡察组、督查室、纪工委批转的各类信访举报和线索16件，给予党政纪处分1人、通报批评3人、批评教育4人、班子集体约谈1次、对2个单位进行了重点督办整改。积极配合市委巡察组和市审计组开展工作，认真研究部署市委巡察组、市经济责任审计组反馈意见整改落实工作，存在问题全部整改到位，受到市委巡察组和市经济责任审计组一致好评。</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sz w:val="30"/>
          <w:szCs w:val="30"/>
        </w:rPr>
      </w:pPr>
      <w:r>
        <w:rPr>
          <w:rFonts w:ascii="仿宋" w:hAnsi="仿宋" w:eastAsia="仿宋"/>
          <w:b/>
          <w:sz w:val="30"/>
          <w:szCs w:val="30"/>
        </w:rPr>
        <w:t>三是加大干部教育培训力度。</w:t>
      </w:r>
      <w:r>
        <w:rPr>
          <w:rFonts w:ascii="仿宋" w:hAnsi="仿宋" w:eastAsia="仿宋"/>
          <w:sz w:val="30"/>
          <w:szCs w:val="30"/>
        </w:rPr>
        <w:t>继续推进网络培训工作，严密组织公务员参加河北干部网络学院和唐山公务员在线培训，组织全系统800余人参加国家局网络培训，组织78人参加省局执法骨干暨“双随机”抽查业务培训。积极组织干部选拔调整工作，选拔正科级领导干部4名。</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sz w:val="30"/>
          <w:szCs w:val="30"/>
        </w:rPr>
      </w:pPr>
      <w:r>
        <w:rPr>
          <w:rFonts w:ascii="仿宋" w:hAnsi="仿宋" w:eastAsia="仿宋"/>
          <w:b/>
          <w:sz w:val="30"/>
          <w:szCs w:val="30"/>
        </w:rPr>
        <w:t>四是大力加强法治建设。</w:t>
      </w:r>
      <w:r>
        <w:rPr>
          <w:rFonts w:ascii="仿宋" w:hAnsi="仿宋" w:eastAsia="仿宋"/>
          <w:sz w:val="30"/>
          <w:szCs w:val="30"/>
        </w:rPr>
        <w:t>坚持以法治思维和法治方式推进市场监管法治建设工作，积极开展“三项制度”回头看工作，不断完善“三项制度”清单、流程图。坚持法定职责必须为，依照法定权限行使权力、履行职责，配发执法记录仪，开展执法检查，执法行为不断规范。</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b/>
          <w:sz w:val="30"/>
          <w:szCs w:val="30"/>
        </w:rPr>
      </w:pPr>
      <w:r>
        <w:rPr>
          <w:rFonts w:ascii="仿宋" w:hAnsi="仿宋" w:eastAsia="仿宋"/>
          <w:b/>
          <w:sz w:val="30"/>
          <w:szCs w:val="30"/>
        </w:rPr>
        <w:t>亮点工作</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sz w:val="30"/>
          <w:szCs w:val="30"/>
        </w:rPr>
      </w:pPr>
      <w:r>
        <w:rPr>
          <w:rFonts w:ascii="仿宋" w:hAnsi="仿宋" w:eastAsia="仿宋"/>
          <w:b/>
          <w:sz w:val="30"/>
          <w:szCs w:val="30"/>
        </w:rPr>
        <w:t>1、率先打造“四最”唐山品牌。</w:t>
      </w:r>
      <w:r>
        <w:rPr>
          <w:rFonts w:ascii="仿宋" w:hAnsi="仿宋" w:eastAsia="仿宋"/>
          <w:sz w:val="30"/>
          <w:szCs w:val="30"/>
        </w:rPr>
        <w:t>1月14日，市委十届四次全会提出了着力优化营商环境，打造审批事项最少、收费标准最低、办事效率最快、服务水平最优的“四最”唐山营商环境品牌的要求。我局坚持提高政治站位，争当打造“四最”唐山营商环境品牌排头兵，在多次召开会议深入分析研究的基础上，1月19日出台了《关于深入贯彻市委十届四次全会精神打造唐山“四最”营商环境品牌的实施意见》。建立健全了“不见面审批”、“同城通办”等工作新机制，完善了“首问负责、一次告知、容缺受理、限时办结”等工作制度，将“落地签”优惠政策进一步扩大到全国，既方便了群众办理营业执照，又增强了唐山对资金的吸引力。这一做法受到了多位领导的批示表扬，省委常委、市委书记王浩同志批示：“市工商做法很好！请常委、副市长、彦红主任、征平主席阅，请市直各部门学习。工商局要将各项措施落地落实。”市长丁绣峰同志批示：“好！就是要对标先进、勇于创新、敢于突破！”省工商局党组书记、局长刘云峰同志批示：“请志芳同志认真总结，发简报推广，供各地学习借鉴。”市委和省工商局全文转发了我局的文件,号召各单位、各地工商和市场监管部门学习借鉴。市委宣传部组织新闻媒体进行了联合采访和连续报道。</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sz w:val="30"/>
          <w:szCs w:val="30"/>
        </w:rPr>
      </w:pPr>
      <w:r>
        <w:rPr>
          <w:rFonts w:ascii="仿宋" w:hAnsi="仿宋" w:eastAsia="仿宋"/>
          <w:b/>
          <w:sz w:val="30"/>
          <w:szCs w:val="30"/>
        </w:rPr>
        <w:t>2、高标准举办2018中国国际商标品牌节。</w:t>
      </w:r>
      <w:r>
        <w:rPr>
          <w:rFonts w:ascii="仿宋" w:hAnsi="仿宋" w:eastAsia="仿宋"/>
          <w:sz w:val="30"/>
          <w:szCs w:val="30"/>
        </w:rPr>
        <w:t>8月31日至9月3日，2018中国国际商标品牌节在唐山成功举办。本届商标品牌节观众人数近7万人次，参会人数达4000多人，外宾近100人，来自42个国家和地区，遍及五大洲，参会人数和规模均创历史新高。本届商标品牌节，聚集了众多品牌专家、优秀企业家和创新创业团队，共话品牌发展之道，共拓品牌建设之路，为我市各界分享了一次品牌盛宴,增强全市上下品牌发展意识。通过学习国内外商标品牌建设的先进经验，吸收专家的真知灼见，开拓了我市企业家的国际视野，扩大了我市品牌知名度，为促进唐山产品向唐山品牌转变，加快转型发展增添了新动力。唐山市工商行政管理局等三家单位获得贡献奖，开滦（集团）有限责任公司等8家唐山公司获得中华商标品牌博览会金奖，唐山亚特专用汽车有限公司等7家唐山公司获得中华商标品牌博览会银奖，“迁西板栗”代表河北省参加了“发现地标之美”活动展示。唐山知名企业--河北瑞兆激光再制造技术股份有限公司获2018年度品牌商标卓越贡献奖，董事长韩宏升获2018年度品牌商标领军人物。中央电视台、中央人民广播电台、新华社、人民日报和省、市级主流媒体130余位记者参加了本届商标品牌节报道活动。9月19日，中华商标协会给唐山市政府发来贺信，并给唐山市工商局发来感谢信。省、市多位领导对本届商标品牌节成功举办给予了批示表扬，省长许勤同志批示：“很好”，副省长夏延军批示：“报许省长阅知。此次会议为商标和品牌节，对宣传河北，提升河北品牌意识有促进意义，对宣传河北品牌有促进作用”。市长丁绣峰同志批示：“市工商局在承办2018中国国际商标品牌节等活动中，积极主动，务实创新，积累了经验，望再接再厉，争取更大成绩”，副市长曹全民同志批示：“工商局工作卓有成效，品牌节效果好！望工商局进一步加大工作力度，多措并举，促进会展业发展，争取办更多有影响力的展会”。</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sz w:val="30"/>
          <w:szCs w:val="30"/>
        </w:rPr>
      </w:pPr>
      <w:r>
        <w:rPr>
          <w:rFonts w:ascii="仿宋" w:hAnsi="仿宋" w:eastAsia="仿宋"/>
          <w:b/>
          <w:sz w:val="30"/>
          <w:szCs w:val="30"/>
        </w:rPr>
        <w:t>3、在全省第一个创建网络监管与服务示范区。</w:t>
      </w:r>
      <w:r>
        <w:rPr>
          <w:rFonts w:ascii="仿宋" w:hAnsi="仿宋" w:eastAsia="仿宋"/>
          <w:sz w:val="30"/>
          <w:szCs w:val="30"/>
        </w:rPr>
        <w:t>我局网络市场监管工作近年来一直走在全省系统前列，特别是今年与杭州市市场监管局签署了《网络交易监管跨区域协作协议》，成功接入杭州市“红盾云桥”智能协作平台，并在全省率先开发了网络市场数据监测定向推送系统，监测监管能力进一步提升，为更好地做好网络经济迅猛发展形势下的网络市场环境监管和优化工作奠定了坚实基础。省工商局高度重视唐山网监工作的示范引领作用，10月30日在唐山市路南区举办了“河北省网络市场监管与服务示范区”创建启动仪式，唐山市路南区成为全省第一个创建网络监管与服务示范区的县（市、区），国家市场监管总局网监司、中国市场监督管理学会、省工商局和唐山市领导参加了启动仪式。</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360" w:lineRule="auto"/>
        <w:ind w:firstLine="602" w:firstLineChars="200"/>
        <w:rPr>
          <w:rFonts w:ascii="仿宋" w:hAnsi="仿宋" w:eastAsia="仿宋"/>
          <w:sz w:val="30"/>
          <w:szCs w:val="30"/>
        </w:rPr>
      </w:pPr>
      <w:r>
        <w:rPr>
          <w:rFonts w:ascii="仿宋" w:hAnsi="仿宋" w:eastAsia="仿宋"/>
          <w:b/>
          <w:sz w:val="30"/>
          <w:szCs w:val="30"/>
        </w:rPr>
        <w:t>4、消费环境建设工作走在全省前列。</w:t>
      </w:r>
      <w:r>
        <w:rPr>
          <w:rFonts w:ascii="仿宋" w:hAnsi="仿宋" w:eastAsia="仿宋"/>
          <w:sz w:val="30"/>
          <w:szCs w:val="30"/>
        </w:rPr>
        <w:t>2015年以来，我局按照省工商局部署，积极开展放心消费创建活动，紧紧围绕首问责任和先行赔付这两项制度，着力强化企业主体责任、市场信用约束作用和社会共治，坚持线上线下一体，全面实施“5588”工程，“安全、诚信、绿色、共享”的新消费环境建设工作卓有成效，省局多次给予肯定。9月15日，河北省工商和市场监管系统依法应对职业索赔人研讨会议暨消费环境建设推进会在我市滦县召开，我局和滦县市场监管局分别作了经验介绍。</w:t>
      </w:r>
    </w:p>
    <w:p>
      <w:pPr>
        <w:pStyle w:val="4"/>
        <w:bidi w:val="0"/>
        <w:snapToGrid w:val="0"/>
        <w:spacing w:beforeLines="0" w:beforeAutospacing="0" w:after="0" w:afterAutospacing="0" w:line="580" w:lineRule="exact"/>
        <w:ind w:firstLine="642" w:firstLineChars="200"/>
        <w:rPr>
          <w:rFonts w:ascii="仿宋_GB2312" w:hAnsi="仿宋_GB2312" w:eastAsia="仿宋_GB2312" w:cs="DengXian-Regular"/>
          <w:sz w:val="32"/>
          <w:szCs w:val="32"/>
        </w:rPr>
      </w:pPr>
      <w:r>
        <w:rPr>
          <w:rFonts w:ascii="仿宋_GB2312" w:hAnsi="仿宋_GB2312" w:eastAsia="仿宋_GB2312" w:cs="DengXian-Regular"/>
          <w:b/>
          <w:bCs/>
          <w:sz w:val="32"/>
          <w:szCs w:val="32"/>
        </w:rPr>
        <w:t>（二）项目绩效</w:t>
      </w:r>
      <w:r>
        <w:rPr>
          <w:rFonts w:ascii="仿宋_GB2312" w:hAnsi="仿宋_GB2312" w:eastAsia="仿宋_GB2312" w:cs="DengXian-Regular"/>
          <w:b/>
          <w:bCs/>
          <w:sz w:val="32"/>
          <w:szCs w:val="32"/>
          <w:lang w:eastAsia="zh-CN"/>
        </w:rPr>
        <w:t>自评结果。</w:t>
      </w:r>
    </w:p>
    <w:p>
      <w:pPr>
        <w:pStyle w:val="4"/>
        <w:bidi w:val="0"/>
        <w:snapToGrid w:val="0"/>
        <w:spacing w:beforeLines="0" w:beforeAutospacing="0" w:after="0" w:afterAutospacing="0" w:line="580" w:lineRule="exact"/>
        <w:ind w:firstLine="600" w:firstLineChars="200"/>
        <w:rPr>
          <w:rFonts w:ascii="仿宋" w:hAnsi="仿宋" w:eastAsia="仿宋" w:cs="仿宋_GB2312"/>
          <w:sz w:val="32"/>
          <w:szCs w:val="32"/>
          <w:lang w:val="zh-CN"/>
        </w:rPr>
      </w:pPr>
      <w:r>
        <w:rPr>
          <w:rFonts w:ascii="仿宋" w:hAnsi="仿宋" w:eastAsia="仿宋" w:cs="宋体"/>
          <w:kern w:val="0"/>
          <w:sz w:val="30"/>
          <w:szCs w:val="30"/>
          <w:lang w:eastAsia="zh-CN"/>
        </w:rPr>
        <w:t>绩效自评结果为优，</w:t>
      </w:r>
      <w:r>
        <w:rPr>
          <w:rFonts w:ascii="仿宋" w:hAnsi="仿宋" w:eastAsia="仿宋" w:cs="仿宋_GB2312"/>
          <w:sz w:val="32"/>
          <w:szCs w:val="32"/>
          <w:lang w:val="zh-CN"/>
        </w:rPr>
        <w:t>共体现在以下</w:t>
      </w:r>
      <w:r>
        <w:rPr>
          <w:rFonts w:ascii="仿宋" w:hAnsi="仿宋" w:eastAsia="仿宋" w:cs="仿宋_GB2312"/>
          <w:sz w:val="32"/>
          <w:szCs w:val="32"/>
          <w:lang w:val="en-US" w:eastAsia="zh-CN"/>
        </w:rPr>
        <w:t>8个方面</w:t>
      </w:r>
      <w:r>
        <w:rPr>
          <w:rFonts w:ascii="仿宋" w:hAnsi="仿宋" w:eastAsia="仿宋" w:cs="仿宋_GB2312"/>
          <w:sz w:val="32"/>
          <w:szCs w:val="32"/>
          <w:lang w:val="zh-CN"/>
        </w:rPr>
        <w:t>。</w:t>
      </w:r>
    </w:p>
    <w:p>
      <w:pPr>
        <w:pStyle w:val="4"/>
        <w:bidi w:val="0"/>
        <w:snapToGrid w:val="0"/>
        <w:spacing w:beforeLines="0" w:beforeAutospacing="0" w:after="0" w:afterAutospacing="0" w:line="580" w:lineRule="exact"/>
        <w:ind w:firstLine="602" w:firstLineChars="200"/>
        <w:rPr>
          <w:rFonts w:ascii="仿宋" w:hAnsi="仿宋" w:eastAsia="仿宋" w:cs="DengXian-Regular"/>
          <w:b/>
          <w:bCs/>
          <w:sz w:val="30"/>
          <w:szCs w:val="30"/>
        </w:rPr>
      </w:pPr>
      <w:r>
        <w:rPr>
          <w:rFonts w:ascii="仿宋" w:hAnsi="仿宋" w:eastAsia="仿宋" w:cs="DengXian-Regular"/>
          <w:b/>
          <w:bCs/>
          <w:sz w:val="30"/>
          <w:szCs w:val="30"/>
        </w:rPr>
        <w:t>1、</w:t>
      </w:r>
      <w:r>
        <w:rPr>
          <w:rFonts w:ascii="仿宋" w:hAnsi="仿宋" w:eastAsia="仿宋" w:cs="宋体"/>
          <w:b/>
          <w:bCs/>
          <w:kern w:val="0"/>
          <w:sz w:val="30"/>
          <w:szCs w:val="30"/>
        </w:rPr>
        <w:t>市场监督管理方面</w:t>
      </w:r>
    </w:p>
    <w:p>
      <w:pPr>
        <w:pStyle w:val="4"/>
        <w:bidi w:val="0"/>
        <w:snapToGrid w:val="0"/>
        <w:spacing w:beforeLines="0" w:beforeAutospacing="0" w:after="0" w:afterAutospacing="0" w:line="580" w:lineRule="exact"/>
        <w:ind w:firstLine="600" w:firstLineChars="200"/>
        <w:rPr>
          <w:rFonts w:ascii="仿宋" w:hAnsi="仿宋" w:eastAsia="仿宋" w:cs="宋体"/>
          <w:kern w:val="0"/>
          <w:sz w:val="30"/>
          <w:szCs w:val="30"/>
        </w:rPr>
      </w:pPr>
      <w:r>
        <w:rPr>
          <w:rFonts w:ascii="仿宋" w:hAnsi="仿宋" w:eastAsia="仿宋" w:cs="宋体"/>
          <w:kern w:val="0"/>
          <w:sz w:val="30"/>
          <w:szCs w:val="30"/>
        </w:rPr>
        <w:t>通过加强红盾护农工作，依法对农资产品质量进行抽查检验；加强大气污染防治工作，开展对成品油、煤炭抽查检验；依法实施合同行政监督管理工作，查处合同欺诈等行为。通过抽检工作，不断加强农资产品和煤炭、成品油质量管理水平，维护正常的经营秩序。监管执法计划完成率达到了90%及以上，网络监管率了90%以上，案件处罚率90%及以上。</w:t>
      </w:r>
    </w:p>
    <w:p>
      <w:pPr>
        <w:pStyle w:val="4"/>
        <w:bidi w:val="0"/>
        <w:snapToGrid w:val="0"/>
        <w:spacing w:beforeLines="0" w:beforeAutospacing="0" w:after="0" w:afterAutospacing="0" w:line="580" w:lineRule="exact"/>
        <w:ind w:firstLine="602" w:firstLineChars="200"/>
        <w:rPr>
          <w:rFonts w:ascii="仿宋" w:hAnsi="仿宋" w:eastAsia="仿宋" w:cs="DengXian-Regular"/>
          <w:b/>
          <w:bCs/>
          <w:sz w:val="30"/>
          <w:szCs w:val="30"/>
        </w:rPr>
      </w:pPr>
      <w:r>
        <w:rPr>
          <w:rFonts w:ascii="仿宋" w:hAnsi="仿宋" w:eastAsia="仿宋" w:cs="宋体"/>
          <w:b/>
          <w:bCs/>
          <w:kern w:val="0"/>
          <w:sz w:val="30"/>
          <w:szCs w:val="30"/>
        </w:rPr>
        <w:t>2、市场主体登记与监管方面</w:t>
      </w:r>
    </w:p>
    <w:p>
      <w:pPr>
        <w:pStyle w:val="4"/>
        <w:bidi w:val="0"/>
        <w:snapToGrid w:val="0"/>
        <w:spacing w:beforeLines="0" w:beforeAutospacing="0" w:after="0" w:afterAutospacing="0" w:line="580" w:lineRule="exact"/>
        <w:ind w:firstLine="600" w:firstLineChars="200"/>
        <w:rPr>
          <w:rFonts w:ascii="仿宋" w:hAnsi="仿宋" w:eastAsia="仿宋" w:cs="宋体"/>
          <w:kern w:val="0"/>
          <w:sz w:val="30"/>
          <w:szCs w:val="30"/>
        </w:rPr>
      </w:pPr>
      <w:r>
        <w:rPr>
          <w:rFonts w:ascii="仿宋" w:hAnsi="仿宋" w:eastAsia="仿宋" w:cs="宋体"/>
          <w:kern w:val="0"/>
          <w:sz w:val="30"/>
          <w:szCs w:val="30"/>
        </w:rPr>
        <w:t>促进了市场主体的快速增长。强化信用体系建设，构建“一处违法、处处受限”监管局面，为政府决策和社会公众提供信息服务。内外资企业公示率、年度报告公示率、案件办结率、抽查公示率、抽查检查率均达到了90%以上。</w:t>
      </w:r>
    </w:p>
    <w:p>
      <w:pPr>
        <w:pStyle w:val="4"/>
        <w:bidi w:val="0"/>
        <w:snapToGrid w:val="0"/>
        <w:spacing w:beforeLines="0" w:beforeAutospacing="0" w:after="0" w:afterAutospacing="0" w:line="580" w:lineRule="exact"/>
        <w:ind w:firstLine="602" w:firstLineChars="200"/>
        <w:rPr>
          <w:rFonts w:ascii="仿宋" w:hAnsi="仿宋" w:eastAsia="仿宋" w:cs="宋体"/>
          <w:kern w:val="0"/>
          <w:sz w:val="30"/>
          <w:szCs w:val="30"/>
        </w:rPr>
      </w:pPr>
      <w:r>
        <w:rPr>
          <w:rFonts w:ascii="仿宋" w:hAnsi="仿宋" w:eastAsia="仿宋" w:cs="宋体"/>
          <w:b/>
          <w:bCs/>
          <w:kern w:val="0"/>
          <w:sz w:val="30"/>
          <w:szCs w:val="30"/>
        </w:rPr>
        <w:t>3、 流通领域商品质量监督管理方面</w:t>
      </w:r>
    </w:p>
    <w:p>
      <w:pPr>
        <w:pStyle w:val="4"/>
        <w:bidi w:val="0"/>
        <w:snapToGrid w:val="0"/>
        <w:spacing w:beforeLines="0" w:beforeAutospacing="0" w:after="0" w:afterAutospacing="0" w:line="580" w:lineRule="exact"/>
        <w:ind w:firstLine="600" w:firstLineChars="200"/>
        <w:rPr>
          <w:rFonts w:ascii="仿宋" w:hAnsi="仿宋" w:eastAsia="仿宋" w:cs="DengXian-Regular"/>
          <w:sz w:val="30"/>
          <w:szCs w:val="30"/>
        </w:rPr>
      </w:pPr>
      <w:r>
        <w:rPr>
          <w:rFonts w:ascii="仿宋" w:hAnsi="仿宋" w:eastAsia="仿宋" w:cs="宋体"/>
          <w:kern w:val="0"/>
          <w:sz w:val="30"/>
          <w:szCs w:val="30"/>
        </w:rPr>
        <w:t>通过开展抽检工作，不断提升我省流通领域商品质量水平。保护农民利益，更好的维护正常的市场经济秩序。检测完成率达到了100%，当年完成商品抽检批次2030次，检查处罚率达到了90%以上。</w:t>
      </w:r>
    </w:p>
    <w:p>
      <w:pPr>
        <w:pStyle w:val="4"/>
        <w:bidi w:val="0"/>
        <w:snapToGrid w:val="0"/>
        <w:spacing w:beforeLines="0" w:beforeAutospacing="0" w:after="0" w:afterAutospacing="0" w:line="580" w:lineRule="exact"/>
        <w:ind w:firstLine="602" w:firstLineChars="200"/>
        <w:rPr>
          <w:rFonts w:ascii="仿宋" w:hAnsi="仿宋" w:eastAsia="仿宋" w:cs="DengXian-Regular"/>
          <w:sz w:val="30"/>
          <w:szCs w:val="30"/>
        </w:rPr>
      </w:pPr>
      <w:r>
        <w:rPr>
          <w:rFonts w:ascii="仿宋" w:hAnsi="仿宋" w:eastAsia="仿宋" w:cs="DengXian-Regular"/>
          <w:b/>
          <w:bCs/>
          <w:sz w:val="30"/>
          <w:szCs w:val="30"/>
        </w:rPr>
        <w:t>4、</w:t>
      </w:r>
      <w:r>
        <w:rPr>
          <w:rFonts w:ascii="仿宋" w:hAnsi="仿宋" w:eastAsia="仿宋" w:cs="宋体"/>
          <w:b/>
          <w:bCs/>
          <w:kern w:val="0"/>
          <w:sz w:val="30"/>
          <w:szCs w:val="30"/>
        </w:rPr>
        <w:t>商标广告监督管理方面</w:t>
      </w:r>
    </w:p>
    <w:p>
      <w:pPr>
        <w:pStyle w:val="4"/>
        <w:bidi w:val="0"/>
        <w:snapToGrid w:val="0"/>
        <w:spacing w:beforeLines="0" w:beforeAutospacing="0" w:after="0" w:afterAutospacing="0" w:line="580" w:lineRule="exact"/>
        <w:ind w:firstLine="600" w:firstLineChars="200"/>
        <w:rPr>
          <w:rFonts w:ascii="仿宋" w:hAnsi="仿宋" w:eastAsia="仿宋" w:cs="DengXian-Regular"/>
          <w:sz w:val="30"/>
          <w:szCs w:val="30"/>
        </w:rPr>
      </w:pPr>
      <w:r>
        <w:rPr>
          <w:rFonts w:ascii="仿宋" w:hAnsi="仿宋" w:eastAsia="仿宋" w:cs="宋体"/>
          <w:kern w:val="0"/>
          <w:sz w:val="30"/>
          <w:szCs w:val="30"/>
        </w:rPr>
        <w:t>通过指导全市商标管理工作，依法保护商标专用权和查处商标侵权行为，推荐和保护驰名商标，管理和保护特殊标志、官方标志，认定和保护著名商标，指导全市广告业发展，监督管理广告活动。指导全市商标管理工作。指导广告业发展，负责广告活动的监督管理工作。著名商注册标推荐完成率达到了80%及以上，驰名商标推荐完成率达到了60%以上，商标案件查处率达到了100%，广告监测覆盖率达到了100%。</w:t>
      </w:r>
    </w:p>
    <w:p>
      <w:pPr>
        <w:pStyle w:val="4"/>
        <w:bidi w:val="0"/>
        <w:snapToGrid w:val="0"/>
        <w:spacing w:beforeLines="0" w:beforeAutospacing="0" w:after="0" w:afterAutospacing="0" w:line="580" w:lineRule="exact"/>
        <w:ind w:firstLine="602" w:firstLineChars="200"/>
        <w:rPr>
          <w:rFonts w:ascii="仿宋" w:hAnsi="仿宋" w:eastAsia="仿宋" w:cs="宋体"/>
          <w:b/>
          <w:bCs/>
          <w:kern w:val="0"/>
          <w:sz w:val="30"/>
          <w:szCs w:val="30"/>
        </w:rPr>
      </w:pPr>
      <w:r>
        <w:rPr>
          <w:rFonts w:ascii="仿宋" w:hAnsi="仿宋" w:eastAsia="仿宋" w:cs="宋体"/>
          <w:b/>
          <w:bCs/>
          <w:kern w:val="0"/>
          <w:sz w:val="30"/>
          <w:szCs w:val="30"/>
        </w:rPr>
        <w:t>5、执法办案方面</w:t>
      </w:r>
    </w:p>
    <w:p>
      <w:pPr>
        <w:pStyle w:val="4"/>
        <w:bidi w:val="0"/>
        <w:snapToGrid w:val="0"/>
        <w:spacing w:beforeLines="0" w:beforeAutospacing="0" w:after="0" w:afterAutospacing="0" w:line="580" w:lineRule="exact"/>
        <w:ind w:firstLine="600" w:firstLineChars="200"/>
        <w:rPr>
          <w:rFonts w:ascii="仿宋" w:hAnsi="仿宋" w:eastAsia="仿宋" w:cs="DengXian-Regular"/>
          <w:sz w:val="30"/>
          <w:szCs w:val="30"/>
        </w:rPr>
      </w:pPr>
      <w:r>
        <w:rPr>
          <w:rFonts w:ascii="仿宋" w:hAnsi="仿宋" w:eastAsia="仿宋" w:cs="宋体"/>
          <w:kern w:val="0"/>
          <w:sz w:val="30"/>
          <w:szCs w:val="30"/>
        </w:rPr>
        <w:t>通过依法查处各类违法行为，组织开展专项执法行动，对性质恶劣、跨区域、社会影响大、严重损害群众利益和破坏市场秩序的大案要案进行督办，开展与执法办案有关的各项工作，维护公平竞争的市场秩序。构建打击传销体系，促进社会和谐稳定，维护公平竞争的市场秩序。反垄断案件查处率达到了80%，案件执法查处率达到了100%，全年督导检查12次。</w:t>
      </w:r>
    </w:p>
    <w:p>
      <w:pPr>
        <w:pStyle w:val="4"/>
        <w:bidi w:val="0"/>
        <w:snapToGrid w:val="0"/>
        <w:spacing w:beforeLines="0" w:beforeAutospacing="0" w:after="0" w:afterAutospacing="0" w:line="580" w:lineRule="exact"/>
        <w:ind w:firstLine="602" w:firstLineChars="200"/>
        <w:rPr>
          <w:rFonts w:ascii="仿宋" w:hAnsi="仿宋" w:eastAsia="仿宋" w:cs="DengXian-Regular"/>
          <w:b/>
          <w:bCs/>
          <w:sz w:val="30"/>
          <w:szCs w:val="30"/>
        </w:rPr>
      </w:pPr>
      <w:r>
        <w:rPr>
          <w:rFonts w:ascii="仿宋" w:hAnsi="仿宋" w:eastAsia="仿宋" w:cs="DengXian-Regular"/>
          <w:b/>
          <w:bCs/>
          <w:sz w:val="30"/>
          <w:szCs w:val="30"/>
        </w:rPr>
        <w:t>6、</w:t>
      </w:r>
      <w:r>
        <w:rPr>
          <w:rFonts w:ascii="仿宋" w:hAnsi="仿宋" w:eastAsia="仿宋" w:cs="宋体"/>
          <w:b/>
          <w:bCs/>
          <w:kern w:val="0"/>
          <w:sz w:val="30"/>
          <w:szCs w:val="30"/>
        </w:rPr>
        <w:t>消费者权益保护方面</w:t>
      </w:r>
    </w:p>
    <w:p>
      <w:pPr>
        <w:pStyle w:val="4"/>
        <w:bidi w:val="0"/>
        <w:snapToGrid w:val="0"/>
        <w:spacing w:beforeLines="0" w:beforeAutospacing="0" w:after="0" w:afterAutospacing="0" w:line="580" w:lineRule="exact"/>
        <w:ind w:firstLine="600" w:firstLineChars="200"/>
        <w:rPr>
          <w:rFonts w:ascii="仿宋" w:hAnsi="仿宋" w:eastAsia="仿宋" w:cs="DengXian-Regular"/>
          <w:sz w:val="30"/>
          <w:szCs w:val="30"/>
        </w:rPr>
      </w:pPr>
      <w:r>
        <w:rPr>
          <w:rFonts w:ascii="仿宋" w:hAnsi="仿宋" w:eastAsia="仿宋" w:cs="宋体"/>
          <w:kern w:val="0"/>
          <w:sz w:val="30"/>
          <w:szCs w:val="30"/>
        </w:rPr>
        <w:t>通过组织全市消费者权益保护工作，查处经营假冒伪劣商品等违法行为；组织指导查处侵害消费者权益的行为，督办处理消费者和经营者投诉举报，指导调解消费纠纷工作，保护消费者合法权益，维护经营者正当利益。建立、健全消费者权益保护机制，将12315建设成为政府与百姓沟通联系的桥梁，增强群众自我保护的消费维权意识，构建“和谐社会”。投诉案件办结率达到了90%以上，案件调解成功率达到了90%以上，12315电话覆盖率达到了100%，全年保护消费者权益宣传活动36次。</w:t>
      </w:r>
    </w:p>
    <w:p>
      <w:pPr>
        <w:pStyle w:val="4"/>
        <w:bidi w:val="0"/>
        <w:snapToGrid w:val="0"/>
        <w:spacing w:beforeLines="0" w:beforeAutospacing="0" w:after="0" w:afterAutospacing="0" w:line="580" w:lineRule="exact"/>
        <w:ind w:firstLine="602" w:firstLineChars="200"/>
        <w:rPr>
          <w:rFonts w:ascii="仿宋" w:hAnsi="仿宋" w:eastAsia="仿宋" w:cs="宋体"/>
          <w:b/>
          <w:bCs/>
          <w:kern w:val="0"/>
          <w:sz w:val="30"/>
          <w:szCs w:val="30"/>
        </w:rPr>
      </w:pPr>
      <w:r>
        <w:rPr>
          <w:rFonts w:ascii="仿宋" w:hAnsi="仿宋" w:eastAsia="仿宋" w:cs="DengXian-Regular"/>
          <w:b/>
          <w:bCs/>
          <w:sz w:val="30"/>
          <w:szCs w:val="30"/>
        </w:rPr>
        <w:t>7、</w:t>
      </w:r>
      <w:r>
        <w:rPr>
          <w:rFonts w:ascii="仿宋" w:hAnsi="仿宋" w:eastAsia="仿宋" w:cs="宋体"/>
          <w:b/>
          <w:bCs/>
          <w:kern w:val="0"/>
          <w:sz w:val="30"/>
          <w:szCs w:val="30"/>
        </w:rPr>
        <w:t>综合业务管理方面</w:t>
      </w:r>
    </w:p>
    <w:p>
      <w:pPr>
        <w:pStyle w:val="4"/>
        <w:bidi w:val="0"/>
        <w:snapToGrid w:val="0"/>
        <w:spacing w:beforeLines="0" w:beforeAutospacing="0" w:after="0" w:afterAutospacing="0" w:line="580" w:lineRule="exact"/>
        <w:ind w:firstLine="600" w:firstLineChars="200"/>
        <w:rPr>
          <w:rFonts w:ascii="仿宋" w:hAnsi="仿宋" w:eastAsia="仿宋" w:cs="DengXian-Regular"/>
          <w:sz w:val="32"/>
          <w:szCs w:val="32"/>
        </w:rPr>
      </w:pPr>
      <w:r>
        <w:rPr>
          <w:rFonts w:ascii="仿宋" w:hAnsi="仿宋" w:eastAsia="仿宋" w:cs="宋体"/>
          <w:kern w:val="0"/>
          <w:sz w:val="30"/>
          <w:szCs w:val="30"/>
        </w:rPr>
        <w:t>通过组织开展工商系统人员宣传、教育、培训工作。进行工商行政执法、消保维权专题新闻报道和舆论监督，起草工商行政管理地方性法规、政府规章草案，承担有关法律服务工作，指导各协会工作，承办市政府交办其他事项。提高了工商行政管理人员的业务能力、工作效率，综合业务完成率达到了100%。</w:t>
      </w:r>
    </w:p>
    <w:p>
      <w:pPr>
        <w:pStyle w:val="4"/>
        <w:bidi w:val="0"/>
        <w:snapToGrid w:val="0"/>
        <w:spacing w:beforeLines="0" w:beforeAutospacing="0" w:after="0" w:afterAutospacing="0" w:line="580" w:lineRule="exact"/>
        <w:ind w:firstLine="602" w:firstLineChars="200"/>
        <w:rPr>
          <w:rFonts w:ascii="仿宋" w:hAnsi="仿宋" w:eastAsia="仿宋" w:cs="宋体"/>
          <w:b/>
          <w:bCs/>
          <w:kern w:val="0"/>
          <w:sz w:val="30"/>
          <w:szCs w:val="30"/>
        </w:rPr>
      </w:pPr>
      <w:r>
        <w:rPr>
          <w:rFonts w:ascii="仿宋" w:hAnsi="仿宋" w:eastAsia="仿宋" w:cs="宋体"/>
          <w:b/>
          <w:bCs/>
          <w:kern w:val="0"/>
          <w:sz w:val="30"/>
          <w:szCs w:val="30"/>
        </w:rPr>
        <w:t>8、综合事务管理方面</w:t>
      </w:r>
    </w:p>
    <w:p>
      <w:pPr>
        <w:pStyle w:val="4"/>
        <w:bidi w:val="0"/>
        <w:snapToGrid w:val="0"/>
        <w:spacing w:beforeLines="0" w:beforeAutospacing="0" w:after="0" w:afterAutospacing="0" w:line="580" w:lineRule="exact"/>
        <w:ind w:firstLine="600" w:firstLineChars="200"/>
        <w:rPr>
          <w:rFonts w:ascii="仿宋" w:hAnsi="仿宋" w:eastAsia="仿宋" w:cs="宋体"/>
          <w:kern w:val="0"/>
          <w:sz w:val="30"/>
          <w:szCs w:val="30"/>
        </w:rPr>
      </w:pPr>
      <w:r>
        <w:rPr>
          <w:rFonts w:ascii="仿宋" w:hAnsi="仿宋" w:eastAsia="仿宋" w:cs="宋体"/>
          <w:kern w:val="0"/>
          <w:sz w:val="30"/>
          <w:szCs w:val="30"/>
        </w:rPr>
        <w:t>通过对市工商局部分楼宇设施进行运行维护，开展综合业务平台建设与维护工作，配发工商制服，进行设备购置，组织节能减排、车辆运行与管理、设备购置和管理、机关保安、保洁和环境绿化及养护等后勤服务。提升保障能力及管理水平，完成各项工作任务。综合事务保障率达到了95%以上。</w:t>
      </w:r>
    </w:p>
    <w:p>
      <w:pPr>
        <w:pStyle w:val="4"/>
        <w:bidi w:val="0"/>
        <w:snapToGrid w:val="0"/>
        <w:spacing w:beforeLines="0" w:beforeAutospacing="0" w:after="0" w:afterAutospacing="0" w:line="580" w:lineRule="exact"/>
        <w:ind w:firstLine="642" w:firstLineChars="200"/>
        <w:rPr>
          <w:rFonts w:ascii="仿宋_GB2312" w:hAnsi="仿宋_GB2312" w:eastAsia="仿宋_GB2312" w:cs="DengXian-Regular"/>
          <w:b/>
          <w:bCs/>
          <w:sz w:val="32"/>
          <w:szCs w:val="32"/>
        </w:rPr>
      </w:pPr>
      <w:r>
        <w:rPr>
          <w:rFonts w:ascii="仿宋_GB2312" w:hAnsi="仿宋_GB2312" w:eastAsia="仿宋_GB2312" w:cs="DengXian-Regular"/>
          <w:b/>
          <w:bCs/>
          <w:sz w:val="32"/>
          <w:szCs w:val="32"/>
        </w:rPr>
        <w:t>（三）预算项目绩效自评选例</w:t>
      </w:r>
    </w:p>
    <w:p>
      <w:pPr>
        <w:pStyle w:val="4"/>
        <w:bidi w:val="0"/>
        <w:snapToGrid w:val="0"/>
        <w:spacing w:beforeLines="0" w:beforeAutospacing="0" w:after="0" w:afterAutospacing="0" w:line="580" w:lineRule="exact"/>
        <w:ind w:firstLine="640" w:firstLineChars="200"/>
        <w:rPr>
          <w:rFonts w:ascii="仿宋" w:hAnsi="仿宋" w:eastAsia="仿宋" w:cs="仿宋"/>
          <w:sz w:val="32"/>
          <w:szCs w:val="32"/>
        </w:rPr>
      </w:pPr>
      <w:r>
        <w:rPr>
          <w:rFonts w:ascii="仿宋" w:hAnsi="仿宋" w:eastAsia="仿宋" w:cs="仿宋"/>
          <w:sz w:val="32"/>
          <w:szCs w:val="32"/>
        </w:rPr>
        <w:t>经国家市场监督管理总局批准，由中华商标协会、河北省工商局、唐山市人民政府共同主办，河北省商标协会和唐山市工商局具体承办的2018中国国际商标品牌节，已于8月31日至9月3日在唐山市成功举办。在市委、市政府和商标品牌节组委会、省工商局筹委会的坚强领导下，本届商标品牌节取得圆满成功，获得广泛赞誉。按照市政府提出的“精致、细致、极致”的办会要求，统筹全市办展的资源优势，在组织企业参展、宣传造势、酒店接待、会展会务、车辆交通、消防安保、志愿服务、食品医疗、电力通信等各项工作上，举全市之力、集全市之智举办了一届成功、精彩、难忘的商标品牌盛会，全面展示了我市深入实施商标品牌战略、推动唐山高质量发展的精神风貌。</w:t>
      </w:r>
    </w:p>
    <w:p>
      <w:pPr>
        <w:pStyle w:val="4"/>
        <w:bidi w:val="0"/>
        <w:spacing w:line="560" w:lineRule="exact"/>
        <w:ind w:firstLine="640" w:firstLineChars="200"/>
        <w:rPr>
          <w:rFonts w:ascii="仿宋" w:hAnsi="仿宋" w:eastAsia="仿宋" w:cs="仿宋"/>
          <w:sz w:val="32"/>
          <w:szCs w:val="32"/>
        </w:rPr>
      </w:pPr>
      <w:r>
        <w:rPr>
          <w:rFonts w:ascii="仿宋" w:hAnsi="仿宋" w:eastAsia="仿宋" w:cs="仿宋"/>
          <w:sz w:val="32"/>
          <w:szCs w:val="32"/>
        </w:rPr>
        <w:t>今年商标品牌节80余位副厅级以上领导参会，参会人数4000余人，注册参会人数近1800人，外宾人数近100人，参会领导人数、参会人数、注册参会人数、外宾人数四个方面均创历史新高，实现了全面超过2017中国国际商标品牌节的目标。现将有关情况汇报如下：</w:t>
      </w:r>
    </w:p>
    <w:p>
      <w:pPr>
        <w:pStyle w:val="4"/>
        <w:bidi w:val="0"/>
        <w:spacing w:line="560" w:lineRule="exact"/>
        <w:ind w:firstLine="642" w:firstLineChars="200"/>
        <w:rPr>
          <w:rFonts w:ascii="仿宋" w:hAnsi="仿宋" w:eastAsia="仿宋"/>
          <w:sz w:val="32"/>
          <w:szCs w:val="32"/>
        </w:rPr>
      </w:pPr>
      <w:r>
        <w:rPr>
          <w:rFonts w:ascii="仿宋" w:hAnsi="仿宋" w:eastAsia="仿宋"/>
          <w:b/>
          <w:bCs/>
          <w:sz w:val="32"/>
          <w:szCs w:val="32"/>
          <w:lang w:val="en-US" w:eastAsia="zh-CN"/>
        </w:rPr>
        <w:t>1</w:t>
      </w:r>
      <w:r>
        <w:rPr>
          <w:rFonts w:ascii="仿宋" w:hAnsi="仿宋" w:eastAsia="仿宋"/>
          <w:b/>
          <w:bCs/>
          <w:sz w:val="32"/>
          <w:szCs w:val="32"/>
        </w:rPr>
        <w:t>、本届商标品牌节基本情况</w:t>
      </w:r>
    </w:p>
    <w:p>
      <w:pPr>
        <w:pStyle w:val="4"/>
        <w:bidi w:val="0"/>
        <w:spacing w:line="560" w:lineRule="exact"/>
        <w:ind w:firstLine="640" w:firstLineChars="200"/>
        <w:rPr>
          <w:rFonts w:ascii="仿宋" w:hAnsi="仿宋" w:eastAsia="仿宋" w:cs="仿宋"/>
          <w:sz w:val="32"/>
          <w:szCs w:val="32"/>
        </w:rPr>
      </w:pPr>
      <w:r>
        <w:rPr>
          <w:rFonts w:ascii="仿宋" w:hAnsi="仿宋" w:eastAsia="仿宋" w:cs="仿宋"/>
          <w:sz w:val="32"/>
          <w:szCs w:val="32"/>
        </w:rPr>
        <w:t>本届商标品牌节的主题是“创造、保护、运用”，期间举办了中国商标年会、中华品牌商标博览会等一系列形式多样、内容丰富的活动。第十一届全国人大常委会副委员长周铁农出席开幕式并宣布开幕，中共河北省委常委、唐山市委书记王浩在开幕式上致欢迎辞，世界知识产权组织副总干事王彬颖派代表宣读贺信，珠海格力集团董事长兼总裁董明珠录制视频表示祝贺。国家市场监督管理总局党组成员、国家知识产权局党组书记、副局长刘俊臣在主论坛——第五届中国品牌经济高峰论坛作主旨演讲，河北省人民政府党组成员、副省长夏延军在主论坛上作重要演讲。河北省人大常委会副主任、承德市委书记周仲明出席会议。唐山市委副书记、市长丁绣峰在欢迎招待会上致辞。河北省工商局局长、党组书记刘云峰在全国工商和市场监管局长论坛上做主旨演讲，河北省工商局党组成员、副局长杨志芳代表主办方在闭幕式上致辞。中国工程院院士赵春江、著名经济学家向松祚在高峰论坛上作主旨演讲。来自国家相关部委、国家市场监管总局和国家知识产权局有关司局的领导，河北省政府及各市县领导、全国各级工商和市场监管部门领导、唐山市领导，国际知识产权组织代表、中外知名企业家、知名知识产权专家学者等1500余人参加了开幕式， 700余人参加闭幕式。</w:t>
      </w:r>
    </w:p>
    <w:p>
      <w:pPr>
        <w:pStyle w:val="4"/>
        <w:bidi w:val="0"/>
        <w:spacing w:line="560" w:lineRule="exact"/>
        <w:ind w:firstLine="642" w:firstLineChars="200"/>
        <w:rPr>
          <w:rFonts w:ascii="仿宋" w:hAnsi="仿宋" w:eastAsia="仿宋"/>
          <w:b/>
          <w:bCs/>
          <w:sz w:val="32"/>
          <w:szCs w:val="32"/>
        </w:rPr>
      </w:pPr>
      <w:r>
        <w:rPr>
          <w:rFonts w:ascii="仿宋" w:hAnsi="仿宋" w:eastAsia="仿宋"/>
          <w:b/>
          <w:bCs/>
          <w:sz w:val="32"/>
          <w:szCs w:val="32"/>
          <w:lang w:val="en-US" w:eastAsia="zh-CN"/>
        </w:rPr>
        <w:t>2</w:t>
      </w:r>
      <w:r>
        <w:rPr>
          <w:rFonts w:ascii="仿宋" w:hAnsi="仿宋" w:eastAsia="仿宋"/>
          <w:b/>
          <w:bCs/>
          <w:sz w:val="32"/>
          <w:szCs w:val="32"/>
        </w:rPr>
        <w:t>、本届商标品牌节影响广泛，特点显著</w:t>
      </w:r>
    </w:p>
    <w:p>
      <w:pPr>
        <w:pStyle w:val="4"/>
        <w:bidi w:val="0"/>
        <w:spacing w:line="560" w:lineRule="exact"/>
        <w:ind w:firstLine="642" w:firstLineChars="200"/>
        <w:rPr>
          <w:rFonts w:ascii="仿宋" w:hAnsi="仿宋" w:eastAsia="仿宋" w:cs="仿宋"/>
          <w:sz w:val="32"/>
          <w:szCs w:val="32"/>
        </w:rPr>
      </w:pPr>
      <w:r>
        <w:rPr>
          <w:rFonts w:ascii="仿宋" w:hAnsi="仿宋" w:eastAsia="仿宋" w:cs="仿宋"/>
          <w:b/>
          <w:bCs/>
          <w:sz w:val="32"/>
          <w:szCs w:val="32"/>
        </w:rPr>
        <w:t>一是主题明确。</w:t>
      </w:r>
      <w:r>
        <w:rPr>
          <w:rFonts w:ascii="仿宋" w:hAnsi="仿宋" w:eastAsia="仿宋" w:cs="仿宋"/>
          <w:sz w:val="32"/>
          <w:szCs w:val="32"/>
        </w:rPr>
        <w:t>设置了1个主论坛、17个分论坛、5个商标沙龙，开展了中华商标创意设计大赛、“发现地标之美”等系列活动，有效贯彻落实了十九大关于“强化知识产权创造、保护、运用”的重大国策，有力促进了知识产权战略、商标品牌战略的深入实施，进一步开阔了我国商标品牌国际化视野。</w:t>
      </w:r>
    </w:p>
    <w:p>
      <w:pPr>
        <w:pStyle w:val="4"/>
        <w:bidi w:val="0"/>
        <w:spacing w:line="560" w:lineRule="exact"/>
        <w:ind w:firstLine="642" w:firstLineChars="200"/>
        <w:rPr>
          <w:rFonts w:ascii="仿宋" w:hAnsi="仿宋" w:eastAsia="仿宋" w:cs="仿宋"/>
          <w:sz w:val="32"/>
          <w:szCs w:val="32"/>
        </w:rPr>
      </w:pPr>
      <w:r>
        <w:rPr>
          <w:rFonts w:ascii="仿宋" w:hAnsi="仿宋" w:eastAsia="仿宋" w:cs="仿宋"/>
          <w:b/>
          <w:bCs/>
          <w:sz w:val="32"/>
          <w:szCs w:val="32"/>
        </w:rPr>
        <w:t>二是盛况空前。</w:t>
      </w:r>
      <w:r>
        <w:rPr>
          <w:rFonts w:ascii="仿宋" w:hAnsi="仿宋" w:eastAsia="仿宋" w:cs="仿宋"/>
          <w:sz w:val="32"/>
          <w:szCs w:val="32"/>
        </w:rPr>
        <w:t>高层领导关注多，国际人士参会多，品牌企业参展多，聚焦时代发展多。出席领导中，有1位副国级领导、5位省部级领导、8位国际组织代表、80余位司、局、厅级领导；参加中国商标年会，注册人数1800人，比去年的1300人增长了38%，是中国国际商标品牌节举办以来人数最多的一届；参会总人数4000多人；外宾近100人，来自42个国家和地区，遍及五大洲；中华品牌商标博览会汇集了526家来自全国各地的品牌企业参展，较去年的418家增长了26%，产业覆盖范围广泛，品牌文化形象突出；观众人数7万人次。</w:t>
      </w:r>
      <w:r>
        <w:rPr>
          <w:rFonts w:ascii="仿宋" w:hAnsi="仿宋" w:eastAsia="仿宋" w:cs="仿宋"/>
          <w:sz w:val="30"/>
          <w:szCs w:val="30"/>
        </w:rPr>
        <w:t>来自中央电视台、中央人民广播电台、新华社、人民日报、中国新闻社、经济日报、法制日报、腾讯网、新浪网、搜狐网、知识产权报、河北日报、燕赵都市报等30余家国内知名媒体共100余位记者参加了商标品牌节报道活动。</w:t>
      </w:r>
    </w:p>
    <w:p>
      <w:pPr>
        <w:pStyle w:val="4"/>
        <w:bidi w:val="0"/>
        <w:spacing w:line="560" w:lineRule="exact"/>
        <w:ind w:firstLine="642" w:firstLineChars="200"/>
        <w:rPr>
          <w:rFonts w:ascii="仿宋" w:hAnsi="仿宋" w:eastAsia="仿宋"/>
          <w:sz w:val="32"/>
          <w:szCs w:val="32"/>
        </w:rPr>
      </w:pPr>
      <w:r>
        <w:rPr>
          <w:rFonts w:ascii="仿宋" w:hAnsi="仿宋" w:eastAsia="仿宋" w:cs="仿宋"/>
          <w:b/>
          <w:bCs/>
          <w:sz w:val="32"/>
          <w:szCs w:val="32"/>
        </w:rPr>
        <w:t>三是成果</w:t>
      </w:r>
      <w:r>
        <w:rPr>
          <w:rFonts w:ascii="仿宋" w:hAnsi="仿宋" w:eastAsia="仿宋"/>
          <w:b/>
          <w:bCs/>
          <w:sz w:val="32"/>
          <w:szCs w:val="32"/>
        </w:rPr>
        <w:t>丰硕。</w:t>
      </w:r>
      <w:r>
        <w:rPr>
          <w:rFonts w:ascii="仿宋" w:hAnsi="仿宋" w:eastAsia="仿宋"/>
          <w:sz w:val="32"/>
          <w:szCs w:val="32"/>
        </w:rPr>
        <w:t>本届商标品牌节分别颁发了2018年度品牌商标特殊贡献奖1家（国美酒业）；2018年度品牌商标卓越贡献奖6家；2018年度品牌商标领军人物4名；2018年度品牌商标杰出人物9名、2018年度品牌商标优秀法务人员6名、商标品牌国际交流贡献奖4家、中国自主品牌卓越成就奖1名（董明珠女士），并公布了首批商标代理服务金牌示范单位23家、2017-2018年度优秀商标代理机构74家，以及2018中华商标创意设计大赛获奖名单。主论坛上，主办方公布了对我国商标事业发展具有重大影响的“改革开放40周年40件商标大事”评选活动结果。闭幕式上，116家单位获得组委会贡献奖，141家企业获得中华品牌商标博览会金奖。</w:t>
      </w:r>
    </w:p>
    <w:p>
      <w:pPr>
        <w:pStyle w:val="4"/>
        <w:bidi w:val="0"/>
        <w:spacing w:line="560" w:lineRule="exact"/>
        <w:ind w:firstLine="642" w:firstLineChars="200"/>
        <w:rPr>
          <w:rFonts w:ascii="仿宋" w:hAnsi="仿宋" w:eastAsia="仿宋" w:cs="仿宋"/>
          <w:sz w:val="32"/>
          <w:szCs w:val="32"/>
        </w:rPr>
      </w:pPr>
      <w:r>
        <w:rPr>
          <w:rFonts w:ascii="仿宋" w:hAnsi="仿宋" w:eastAsia="仿宋" w:cs="仿宋"/>
          <w:b/>
          <w:bCs/>
          <w:sz w:val="32"/>
          <w:szCs w:val="32"/>
        </w:rPr>
        <w:t>四是安全圆满。</w:t>
      </w:r>
      <w:r>
        <w:rPr>
          <w:rFonts w:ascii="仿宋" w:hAnsi="仿宋" w:eastAsia="仿宋" w:cs="仿宋"/>
          <w:sz w:val="32"/>
          <w:szCs w:val="32"/>
        </w:rPr>
        <w:t>通过主办方和承办方精心组织、科学谋划，有力保障了各项工作的圆满落实，实现了“精益求精、万无一失、精彩难忘、圆满成功”的办会理念。大家普遍认为，本届商标品牌节得到了与会者的满意认可，一定能经得起时间评判和历史检验。</w:t>
      </w:r>
    </w:p>
    <w:p>
      <w:pPr>
        <w:pStyle w:val="4"/>
        <w:bidi w:val="0"/>
        <w:spacing w:line="560" w:lineRule="exact"/>
        <w:ind w:firstLine="642" w:firstLineChars="200"/>
        <w:rPr>
          <w:rFonts w:ascii="仿宋" w:hAnsi="仿宋" w:eastAsia="仿宋"/>
          <w:b/>
          <w:bCs/>
          <w:sz w:val="32"/>
          <w:szCs w:val="32"/>
        </w:rPr>
      </w:pPr>
      <w:r>
        <w:rPr>
          <w:rFonts w:ascii="仿宋" w:hAnsi="仿宋" w:eastAsia="仿宋"/>
          <w:b/>
          <w:bCs/>
          <w:sz w:val="32"/>
          <w:szCs w:val="32"/>
          <w:lang w:val="en-US" w:eastAsia="zh-CN"/>
        </w:rPr>
        <w:t>3</w:t>
      </w:r>
      <w:r>
        <w:rPr>
          <w:rFonts w:ascii="仿宋" w:hAnsi="仿宋" w:eastAsia="仿宋"/>
          <w:b/>
          <w:bCs/>
          <w:sz w:val="32"/>
          <w:szCs w:val="32"/>
        </w:rPr>
        <w:t>、领导重视，全力承办，保障有力，成果丰硕，唐山市圆满完成商标品牌节承办工作</w:t>
      </w:r>
    </w:p>
    <w:p>
      <w:pPr>
        <w:pStyle w:val="4"/>
        <w:bidi w:val="0"/>
        <w:spacing w:line="560" w:lineRule="exact"/>
        <w:ind w:firstLine="640"/>
        <w:rPr>
          <w:rFonts w:ascii="仿宋" w:hAnsi="仿宋" w:eastAsia="仿宋"/>
          <w:sz w:val="32"/>
          <w:szCs w:val="32"/>
        </w:rPr>
      </w:pPr>
      <w:r>
        <w:rPr>
          <w:rFonts w:ascii="仿宋" w:hAnsi="仿宋" w:eastAsia="仿宋"/>
          <w:b/>
          <w:sz w:val="32"/>
          <w:szCs w:val="32"/>
        </w:rPr>
        <w:t>一是领导重视，组织得力。</w:t>
      </w:r>
      <w:r>
        <w:rPr>
          <w:rFonts w:ascii="仿宋" w:hAnsi="仿宋" w:eastAsia="仿宋"/>
          <w:sz w:val="32"/>
          <w:szCs w:val="32"/>
        </w:rPr>
        <w:t>许勤省长、王浩书记、夏延军副省长、丁绣峰市长、曹全民副市长先后十五次作出重要批示，要求高质量高水平办好商标品牌节。2018年6月25日，中华商标协会下发《2018中国国际商标品牌节总体方案》，丁绣峰市长担任2018中国国际商标品牌节组委会副主任，曹全民副市长任委员。2018年7月21日，我市成立了以丁绣峰市长为主任、曹全民副市长为副主任的承办工作委员会，下设七个对接服务组，全力推进筹备工作。市工商局张建波</w:t>
      </w:r>
      <w:r>
        <w:rPr>
          <w:rFonts w:ascii="仿宋" w:hAnsi="仿宋" w:eastAsia="仿宋" w:cs="宋体"/>
          <w:color w:val="000000"/>
          <w:kern w:val="0"/>
          <w:sz w:val="32"/>
          <w:szCs w:val="32"/>
        </w:rPr>
        <w:t>局长在全市工商和市场监管会议上作了专题部署，多次召开对接小组工作会安排具体事项。</w:t>
      </w:r>
      <w:r>
        <w:rPr>
          <w:rFonts w:ascii="仿宋" w:hAnsi="仿宋" w:eastAsia="仿宋"/>
          <w:sz w:val="32"/>
          <w:szCs w:val="32"/>
        </w:rPr>
        <w:t>期间市政府与中华商标协会和河北省工商局先后在三地召开了五次联席工作会议，及时协调、明确、部署了有关事项。唐山承办工作委员会先后召开六次调度会，安排部署筹备主要工作，听取筹备进展情况汇报，解决筹备工作难题</w:t>
      </w:r>
      <w:r>
        <w:rPr>
          <w:rFonts w:ascii="仿宋" w:hAnsi="仿宋" w:eastAsia="仿宋" w:cs="仿宋_GB2312"/>
          <w:sz w:val="32"/>
          <w:szCs w:val="32"/>
        </w:rPr>
        <w:t>，为高质量高水平举办商标品牌节打下了扎实基础。</w:t>
      </w:r>
    </w:p>
    <w:p>
      <w:pPr>
        <w:pStyle w:val="4"/>
        <w:bidi w:val="0"/>
        <w:ind w:firstLine="709"/>
        <w:jc w:val="left"/>
        <w:rPr>
          <w:rFonts w:ascii="仿宋" w:hAnsi="仿宋" w:eastAsia="仿宋"/>
          <w:sz w:val="32"/>
          <w:szCs w:val="32"/>
        </w:rPr>
      </w:pPr>
      <w:r>
        <w:rPr>
          <w:rFonts w:ascii="仿宋" w:hAnsi="仿宋" w:eastAsia="仿宋"/>
          <w:b/>
          <w:sz w:val="32"/>
          <w:szCs w:val="32"/>
        </w:rPr>
        <w:t>二是广泛宣传，精心组织。</w:t>
      </w:r>
      <w:r>
        <w:rPr>
          <w:rFonts w:ascii="仿宋" w:hAnsi="仿宋" w:eastAsia="仿宋"/>
          <w:sz w:val="32"/>
          <w:szCs w:val="32"/>
        </w:rPr>
        <w:t>8月6日，我局制定宣传方案，明确宣传内容、宣传口号、宣传时间、宣传安排等事项。8月15日，我局向市委宣传部报送《关于做好2018中国国际商标品牌节宣传工作的请示》，杨洁部长做出批示，对倒计时、宣传片、滚动字幕、专题报道四项宣传予以免费。我局还先后多次到市委宣传部对相关细节问题进行沟通协调。于8月24日召开了新闻发布会，27名记者在商标品牌节期间全程跟踪报道。同时，我局还加大在市中心区的宣传，从7月份开始，</w:t>
      </w:r>
      <w:r>
        <w:rPr>
          <w:rFonts w:ascii="仿宋" w:hAnsi="仿宋" w:eastAsia="仿宋"/>
          <w:color w:val="000000"/>
          <w:spacing w:val="24"/>
          <w:sz w:val="32"/>
          <w:szCs w:val="32"/>
        </w:rPr>
        <w:t>在出租车顶灯广告屏滚动播出商标节相关内容，累计播放3万多条次。从8月22日至31日，在唐山市区800辆公交车的车载电视上，每天每车60次宣传商标品牌节，在</w:t>
      </w:r>
      <w:r>
        <w:rPr>
          <w:rFonts w:ascii="仿宋" w:hAnsi="仿宋" w:eastAsia="仿宋"/>
          <w:sz w:val="32"/>
          <w:szCs w:val="32"/>
        </w:rPr>
        <w:t>高速口和南湖会展中心附近设置商标品牌节道旗300多面</w:t>
      </w:r>
      <w:r>
        <w:rPr>
          <w:rFonts w:ascii="仿宋" w:hAnsi="仿宋" w:eastAsia="仿宋"/>
          <w:color w:val="000000"/>
          <w:spacing w:val="24"/>
          <w:sz w:val="32"/>
          <w:szCs w:val="32"/>
        </w:rPr>
        <w:t>。我局共组织</w:t>
      </w:r>
      <w:r>
        <w:rPr>
          <w:rFonts w:ascii="仿宋" w:hAnsi="仿宋" w:eastAsia="仿宋"/>
          <w:sz w:val="32"/>
          <w:szCs w:val="32"/>
        </w:rPr>
        <w:t>开滦等6家</w:t>
      </w:r>
      <w:r>
        <w:rPr>
          <w:rFonts w:ascii="仿宋" w:hAnsi="仿宋" w:eastAsia="仿宋"/>
          <w:color w:val="000000"/>
          <w:spacing w:val="24"/>
          <w:sz w:val="32"/>
          <w:szCs w:val="32"/>
        </w:rPr>
        <w:t>我市</w:t>
      </w:r>
      <w:r>
        <w:rPr>
          <w:rFonts w:ascii="仿宋" w:hAnsi="仿宋" w:eastAsia="仿宋"/>
          <w:sz w:val="32"/>
          <w:szCs w:val="32"/>
        </w:rPr>
        <w:t>企业代表唐山展示形象、15家企业参加标准展位展示。市领导4名，县（市）区政府领导7人，全市工商和市场监管部门162人，227家324人参加了品牌节的各项活动，展示了唐山的良好形象。</w:t>
      </w:r>
    </w:p>
    <w:p>
      <w:pPr>
        <w:pStyle w:val="4"/>
        <w:bidi w:val="0"/>
        <w:spacing w:line="560" w:lineRule="exact"/>
        <w:ind w:firstLine="642" w:firstLineChars="200"/>
        <w:rPr>
          <w:rFonts w:ascii="仿宋" w:hAnsi="仿宋" w:eastAsia="仿宋"/>
          <w:sz w:val="32"/>
          <w:szCs w:val="32"/>
        </w:rPr>
      </w:pPr>
      <w:r>
        <w:rPr>
          <w:rFonts w:ascii="仿宋" w:hAnsi="仿宋" w:eastAsia="仿宋"/>
          <w:b/>
          <w:bCs/>
          <w:sz w:val="32"/>
          <w:szCs w:val="32"/>
        </w:rPr>
        <w:t>三是加强协调，全力保障。</w:t>
      </w:r>
      <w:r>
        <w:rPr>
          <w:rFonts w:ascii="仿宋" w:hAnsi="仿宋" w:eastAsia="仿宋"/>
          <w:sz w:val="32"/>
          <w:szCs w:val="32"/>
        </w:rPr>
        <w:t>市政府下发了《2018中国国际商标品牌节唐山市承办工作委员会组成人员及各工作组责任分工》，明确组成部门和相关职责分工。我市有32名县处级领导，430名工作人员参加会务保障工作。市委、市政府办公厅、市接待办和市外办成立专门工作组，负责市领导活动安排、领导讲话起草、筹备工作协调、调度和督导等工作。市委宣传部（市外宣局）组织市级主流媒体进行全方位的报道。市工商局从局机关抽调80人，夜以继日全力做好重要嘉宾接待、后勤、展览等保障工作。市公安局抽调130名警力，并聘请安保公司，负责会议场所、来宾驻地等重要地点的安保和交通疏导管控等工作。市安全局和市信访局重点对外宾等参会人员进行审查，保证在会议期间没有发生信访事件。市城管局抽调力量，积极做好南湖会展中心周边环境整治和户外广告规范工作。团市委从唐山学院招募50名志愿者，配合中华商标协会做好会务保障工作。市卫计委从工人医院抽调四名医护人员，24小时值班，保障参会代表身体健康。市食药监加强对19家会务酒店的检查，保障会议期间未发生食品安全和卫生防疫问题。市交通局加强对出租车的监管和疏导，重点保证场馆周边、火车站、机场等区域参会代表的出行便利。市旅游局指定一家知名旅游公司，制定10条经典旅游线路，印制宣传手册在会务酒店发放。市文广新局组织唐山传统文化皮影戏在欢迎招待会上的展演活动，取得轰动效果。市供电公司、消防支队、移动、联通、电信都派出保障车辆和人员全力值守，电信公司还专门开通2条20M的WIFI线路。南湖会展中心、市公交总公司、机场、火车站、客运站等都制定详细预案，做好应急处理工作。</w:t>
      </w:r>
    </w:p>
    <w:p>
      <w:pPr>
        <w:pStyle w:val="9"/>
        <w:widowControl/>
        <w:bidi w:val="0"/>
        <w:spacing w:before="0" w:beforeAutospacing="0" w:after="0" w:afterAutospacing="0" w:line="560" w:lineRule="exact"/>
        <w:ind w:firstLine="642" w:firstLineChars="200"/>
        <w:jc w:val="left"/>
        <w:rPr>
          <w:rFonts w:ascii="仿宋" w:hAnsi="仿宋" w:eastAsia="仿宋" w:cs="宋体"/>
          <w:color w:val="000000"/>
          <w:sz w:val="32"/>
          <w:szCs w:val="32"/>
        </w:rPr>
      </w:pPr>
      <w:r>
        <w:rPr>
          <w:rFonts w:ascii="仿宋" w:hAnsi="仿宋" w:eastAsia="仿宋"/>
          <w:b/>
          <w:sz w:val="32"/>
          <w:szCs w:val="32"/>
        </w:rPr>
        <w:t>四是</w:t>
      </w:r>
      <w:r>
        <w:rPr>
          <w:rFonts w:ascii="仿宋" w:hAnsi="仿宋" w:eastAsia="仿宋"/>
          <w:b/>
          <w:kern w:val="2"/>
          <w:sz w:val="32"/>
          <w:szCs w:val="32"/>
        </w:rPr>
        <w:t>广泛赞誉，</w:t>
      </w:r>
      <w:r>
        <w:rPr>
          <w:rFonts w:ascii="仿宋" w:hAnsi="仿宋" w:eastAsia="仿宋"/>
          <w:b/>
          <w:sz w:val="32"/>
          <w:szCs w:val="32"/>
        </w:rPr>
        <w:t>成绩突出。</w:t>
      </w:r>
      <w:r>
        <w:rPr>
          <w:rFonts w:ascii="仿宋" w:hAnsi="仿宋" w:eastAsia="仿宋"/>
          <w:kern w:val="2"/>
          <w:sz w:val="32"/>
          <w:szCs w:val="32"/>
        </w:rPr>
        <w:t>唐山市承办工作委员会获得一致认可，唐山参会单位和参展企业取得了辉煌的成果：编辑制作的《潮起唐山》宣传片，在商标品牌节欢迎招待会、开幕式和中华商标品牌博览会唐山展区循环播放，并通过唐山电视台、环渤海新闻网等媒体广泛传播。</w:t>
      </w:r>
      <w:r>
        <w:rPr>
          <w:rFonts w:ascii="仿宋" w:hAnsi="仿宋" w:eastAsia="仿宋"/>
          <w:sz w:val="32"/>
          <w:szCs w:val="32"/>
        </w:rPr>
        <w:t>唐山工商行政管理局、唐山市丰南区市场监督管理局、迁安市市场监督管理局三家单位获得贡献奖。</w:t>
      </w:r>
      <w:r>
        <w:rPr>
          <w:rFonts w:ascii="仿宋" w:hAnsi="仿宋" w:eastAsia="仿宋"/>
          <w:kern w:val="2"/>
          <w:sz w:val="32"/>
          <w:szCs w:val="32"/>
        </w:rPr>
        <w:t>河北瑞兆激光再制造技术股份有限公司获2018年度品牌商标卓越贡献奖，董事长韩宏升获评2018年度品牌商标领军人物；</w:t>
      </w:r>
      <w:r>
        <w:rPr>
          <w:rFonts w:ascii="仿宋" w:hAnsi="仿宋" w:eastAsia="仿宋"/>
          <w:sz w:val="32"/>
          <w:szCs w:val="32"/>
        </w:rPr>
        <w:t>唐山共有21家</w:t>
      </w:r>
      <w:r>
        <w:rPr>
          <w:rFonts w:ascii="仿宋" w:hAnsi="仿宋" w:eastAsia="仿宋" w:cs="宋体"/>
          <w:color w:val="000000"/>
          <w:sz w:val="32"/>
          <w:szCs w:val="32"/>
        </w:rPr>
        <w:t>企业参展，“迁西板栗”代表河北省参加“发现地标之美”活动展示并参加“发现地标之美品鉴暨招待会 ”做主题发言；</w:t>
      </w:r>
      <w:r>
        <w:rPr>
          <w:rFonts w:ascii="仿宋" w:hAnsi="仿宋" w:eastAsia="仿宋"/>
          <w:sz w:val="32"/>
          <w:szCs w:val="32"/>
        </w:rPr>
        <w:t>开滦（集团）有限责任公司、唐山三友集团有限公司、河北津西钢铁集团、惠达卫浴股份有限公司、中信重工开诚智能装备有限公司、河北华通线缆集团有限公司、唐山东辰食品饮料有限公司、河北瑞兆激光再制造技术股份有限公司八家公司获得中华商标品牌博览会金奖。唐山亚特专用汽车有限公司、冀东普天线缆有限公司、唐山唐丰米业有限责任公司、唐山佳德陶瓷有限公司、唐山中陶实业有限公司、唐山宏阔科技有限公司、河北唐安酿酒有限公司七家公司获得中华商标品牌博览会银奖。</w:t>
      </w:r>
      <w:r>
        <w:rPr>
          <w:rFonts w:ascii="仿宋" w:hAnsi="仿宋" w:eastAsia="仿宋" w:cs="宋体"/>
          <w:color w:val="000000"/>
          <w:sz w:val="32"/>
          <w:szCs w:val="32"/>
        </w:rPr>
        <w:t>国家市场监管总局、国家知识产权局、中华商标协会、国际组织和有关单位的领导，对唐山的工作给予充分肯定，唐山商标品牌节给他们留下了美好的印象。</w:t>
      </w:r>
    </w:p>
    <w:p>
      <w:pPr>
        <w:pStyle w:val="9"/>
        <w:widowControl/>
        <w:bidi w:val="0"/>
        <w:spacing w:before="0" w:beforeAutospacing="0" w:after="0" w:afterAutospacing="0" w:line="560" w:lineRule="exact"/>
        <w:ind w:firstLine="642" w:firstLineChars="200"/>
        <w:jc w:val="left"/>
        <w:rPr>
          <w:rFonts w:ascii="仿宋" w:hAnsi="仿宋" w:eastAsia="仿宋" w:cs="宋体"/>
          <w:color w:val="000000"/>
          <w:sz w:val="32"/>
          <w:szCs w:val="32"/>
        </w:rPr>
      </w:pPr>
      <w:r>
        <w:rPr>
          <w:rFonts w:ascii="仿宋" w:hAnsi="仿宋" w:eastAsia="仿宋" w:cs="宋体"/>
          <w:b/>
          <w:bCs/>
          <w:color w:val="000000"/>
          <w:sz w:val="32"/>
          <w:szCs w:val="32"/>
        </w:rPr>
        <w:t>五是意义非凡，影响深远。</w:t>
      </w:r>
      <w:r>
        <w:rPr>
          <w:rFonts w:ascii="仿宋" w:hAnsi="仿宋" w:eastAsia="仿宋" w:cs="宋体"/>
          <w:color w:val="000000"/>
          <w:sz w:val="32"/>
          <w:szCs w:val="32"/>
        </w:rPr>
        <w:t>此次2018中国国际商标品牌节，聚集了众多品牌专家、优秀企业家和创新创业团队，共话品牌发展之道，共拓品牌建设之路，为我市各界分享了一次品牌盛宴,为增强全市上下品牌发展意识,推动高质量发展增添了新源泉。通过学习国内外商标品牌建设的先进经验，吸收专家的真知灼见，开拓了我市企业家的国际视野，扩大了我市品牌知名度，为促进唐山产品向唐山品牌转变，加快转型发展增添了新动力。众多国内外嘉宾、知名企业代表云集唐山,走进唐山，省委常委、市委书记王浩，市长丁绣峰亲自推介唐山，我市以2018中国国际商标品牌节的完满举办展示了我们的办会能力和精神素质，进一步提高了唐山的影响力和美誉度。此次具有国际影响力的盛会在我市完满举办，为我市扩大对外开放打开了新窗口，为加快实现“三个努力建成”、“三个走在前列”、“两个率先”奋斗目标提供了新助力。</w:t>
      </w:r>
    </w:p>
    <w:p>
      <w:pPr>
        <w:pStyle w:val="6"/>
        <w:bidi w:val="0"/>
        <w:spacing w:before="0" w:beforeAutospacing="0" w:after="0" w:afterAutospacing="0" w:line="580" w:lineRule="exact"/>
        <w:ind w:firstLine="642" w:firstLineChars="200"/>
        <w:rPr>
          <w:rFonts w:ascii="宋体" w:hAnsi="宋体" w:eastAsia="宋体" w:cs="宋体"/>
          <w:b/>
          <w:bCs/>
        </w:rPr>
      </w:pPr>
      <w:r>
        <w:rPr>
          <w:rFonts w:ascii="宋体" w:hAnsi="宋体" w:cs="宋体"/>
          <w:b/>
          <w:bCs/>
        </w:rPr>
        <w:t>七、其他重要事项的说明</w:t>
      </w:r>
    </w:p>
    <w:p>
      <w:pPr>
        <w:pStyle w:val="7"/>
        <w:bidi w:val="0"/>
        <w:spacing w:before="0" w:beforeAutospacing="0" w:after="0" w:afterAutospacing="0" w:line="580" w:lineRule="exact"/>
        <w:ind w:firstLine="642" w:firstLineChars="200"/>
        <w:rPr>
          <w:rFonts w:ascii="仿宋" w:hAnsi="仿宋" w:eastAsia="仿宋" w:cs="DengXian-Bold"/>
        </w:rPr>
      </w:pPr>
      <w:r>
        <w:rPr>
          <w:rFonts w:ascii="仿宋" w:hAnsi="仿宋" w:eastAsia="仿宋" w:cs="DengXian-Bold"/>
        </w:rPr>
        <w:t>（一）机关运行经费情况</w:t>
      </w:r>
    </w:p>
    <w:p>
      <w:pPr>
        <w:pStyle w:val="4"/>
        <w:bidi w:val="0"/>
        <w:snapToGrid w:val="0"/>
        <w:spacing w:beforeLines="0" w:beforeAutospacing="0" w:after="0" w:afterAutospacing="0" w:line="580" w:lineRule="exact"/>
        <w:ind w:firstLine="640" w:firstLineChars="200"/>
        <w:rPr>
          <w:rFonts w:ascii="仿宋" w:hAnsi="仿宋" w:eastAsia="仿宋" w:cs="DengXian-Bold"/>
        </w:rPr>
      </w:pPr>
      <w:r>
        <w:rPr>
          <w:rFonts w:ascii="仿宋" w:hAnsi="仿宋" w:eastAsia="仿宋" w:cs="DengXian-Regular"/>
          <w:sz w:val="32"/>
          <w:szCs w:val="32"/>
        </w:rPr>
        <w:t>本部门2018年度机关运行经费支出1220</w:t>
      </w:r>
      <w:r>
        <w:rPr>
          <w:rFonts w:ascii="仿宋" w:hAnsi="仿宋" w:eastAsia="仿宋"/>
          <w:sz w:val="32"/>
          <w:szCs w:val="32"/>
        </w:rPr>
        <w:t>.9</w:t>
      </w:r>
      <w:r>
        <w:rPr>
          <w:rFonts w:ascii="仿宋" w:hAnsi="仿宋" w:eastAsia="仿宋" w:cs="DengXian-Regular"/>
          <w:sz w:val="32"/>
          <w:szCs w:val="32"/>
        </w:rPr>
        <w:t>1万元，</w:t>
      </w:r>
      <w:r>
        <w:rPr>
          <w:rFonts w:ascii="仿宋" w:hAnsi="仿宋" w:eastAsia="仿宋" w:cs="微软雅黑"/>
          <w:sz w:val="32"/>
          <w:szCs w:val="32"/>
          <w:lang w:eastAsia="zh-CN"/>
        </w:rPr>
        <w:t>与年初预算数无增减变化，</w:t>
      </w:r>
      <w:r>
        <w:rPr>
          <w:rFonts w:ascii="仿宋" w:hAnsi="仿宋" w:eastAsia="仿宋" w:cs="DengXian-Regular"/>
          <w:sz w:val="32"/>
          <w:szCs w:val="32"/>
        </w:rPr>
        <w:t>与2017年度机关运行经费支出1220</w:t>
      </w:r>
      <w:r>
        <w:rPr>
          <w:rFonts w:ascii="仿宋" w:hAnsi="仿宋" w:eastAsia="仿宋"/>
          <w:sz w:val="32"/>
          <w:szCs w:val="32"/>
        </w:rPr>
        <w:t>.</w:t>
      </w:r>
      <w:r>
        <w:rPr>
          <w:rFonts w:ascii="仿宋" w:hAnsi="仿宋" w:eastAsia="仿宋" w:cs="DengXian-Regular"/>
          <w:sz w:val="32"/>
          <w:szCs w:val="32"/>
        </w:rPr>
        <w:t>84万元持</w:t>
      </w:r>
      <w:r>
        <w:rPr>
          <w:rFonts w:ascii="仿宋" w:hAnsi="仿宋" w:eastAsia="仿宋" w:cs="微软雅黑"/>
          <w:sz w:val="32"/>
          <w:szCs w:val="32"/>
        </w:rPr>
        <w:t>平</w:t>
      </w:r>
      <w:r>
        <w:rPr>
          <w:rFonts w:ascii="仿宋" w:hAnsi="仿宋" w:eastAsia="仿宋" w:cs="DengXian-Regular"/>
          <w:sz w:val="32"/>
          <w:szCs w:val="32"/>
        </w:rPr>
        <w:t>。</w:t>
      </w:r>
    </w:p>
    <w:p>
      <w:pPr>
        <w:pStyle w:val="4"/>
        <w:widowControl/>
        <w:numPr>
          <w:ilvl w:val="0"/>
          <w:numId w:val="3"/>
        </w:numPr>
        <w:bidi w:val="0"/>
        <w:spacing w:beforeLines="0" w:beforeAutospacing="0" w:after="0" w:afterAutospacing="0" w:line="580" w:lineRule="exact"/>
        <w:ind w:firstLine="642" w:firstLineChars="200"/>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t>政府采购情况</w:t>
      </w:r>
    </w:p>
    <w:p>
      <w:pPr>
        <w:pStyle w:val="4"/>
        <w:widowControl w:val="0"/>
        <w:bidi w:val="0"/>
        <w:snapToGrid w:val="0"/>
        <w:spacing w:line="580" w:lineRule="exact"/>
        <w:ind w:firstLine="640" w:firstLineChars="200"/>
        <w:jc w:val="left"/>
        <w:textAlignment w:val="auto"/>
        <w:rPr>
          <w:rFonts w:ascii="仿宋_GB2312" w:hAnsi="仿宋_GB2312" w:eastAsia="仿宋_GB2312" w:cs="DengXian-Regular"/>
          <w:sz w:val="32"/>
          <w:szCs w:val="32"/>
        </w:rPr>
      </w:pPr>
      <w:r>
        <w:rPr>
          <w:rFonts w:ascii="仿宋" w:hAnsi="仿宋" w:eastAsia="仿宋" w:cs="DengXian-Regular"/>
          <w:sz w:val="32"/>
          <w:szCs w:val="32"/>
        </w:rPr>
        <w:t>本部门2018年度政府采购支出总额</w:t>
      </w:r>
      <w:r>
        <w:rPr>
          <w:rFonts w:ascii="仿宋" w:hAnsi="仿宋" w:eastAsia="仿宋"/>
          <w:sz w:val="32"/>
          <w:szCs w:val="32"/>
        </w:rPr>
        <w:t>9</w:t>
      </w:r>
      <w:r>
        <w:rPr>
          <w:rFonts w:ascii="仿宋" w:hAnsi="仿宋" w:eastAsia="仿宋" w:cs="DengXian-Regular"/>
          <w:sz w:val="32"/>
          <w:szCs w:val="32"/>
        </w:rPr>
        <w:t>2</w:t>
      </w:r>
      <w:r>
        <w:rPr>
          <w:rFonts w:ascii="仿宋" w:hAnsi="仿宋" w:eastAsia="仿宋"/>
          <w:sz w:val="32"/>
          <w:szCs w:val="32"/>
        </w:rPr>
        <w:t>.</w:t>
      </w:r>
      <w:r>
        <w:rPr>
          <w:rFonts w:ascii="仿宋" w:hAnsi="仿宋" w:eastAsia="仿宋" w:cs="DengXian-Regular"/>
          <w:sz w:val="32"/>
          <w:szCs w:val="32"/>
        </w:rPr>
        <w:t>15万元，从采购类型来看，</w:t>
      </w:r>
      <w:r>
        <w:rPr>
          <w:rFonts w:ascii="仿宋" w:hAnsi="仿宋" w:eastAsia="仿宋" w:cs="仿宋_GB2312"/>
          <w:color w:val="000000"/>
          <w:kern w:val="0"/>
          <w:sz w:val="32"/>
          <w:szCs w:val="32"/>
        </w:rPr>
        <w:t>政府采购货物支出1</w:t>
      </w:r>
      <w:r>
        <w:rPr>
          <w:rFonts w:ascii="仿宋" w:hAnsi="仿宋" w:eastAsia="仿宋"/>
          <w:sz w:val="32"/>
          <w:szCs w:val="32"/>
        </w:rPr>
        <w:t>9.</w:t>
      </w:r>
      <w:r>
        <w:rPr>
          <w:rFonts w:ascii="仿宋" w:hAnsi="仿宋" w:eastAsia="仿宋" w:cs="仿宋_GB2312"/>
          <w:color w:val="000000"/>
          <w:kern w:val="0"/>
          <w:sz w:val="32"/>
          <w:szCs w:val="32"/>
        </w:rPr>
        <w:t>45万元、政府采购服务支出72</w:t>
      </w:r>
      <w:r>
        <w:rPr>
          <w:rFonts w:ascii="仿宋" w:hAnsi="仿宋" w:eastAsia="仿宋"/>
          <w:sz w:val="32"/>
          <w:szCs w:val="32"/>
        </w:rPr>
        <w:t>.</w:t>
      </w:r>
      <w:r>
        <w:rPr>
          <w:rFonts w:ascii="仿宋" w:hAnsi="仿宋" w:eastAsia="仿宋" w:cs="仿宋_GB2312"/>
          <w:color w:val="000000"/>
          <w:kern w:val="0"/>
          <w:sz w:val="32"/>
          <w:szCs w:val="32"/>
        </w:rPr>
        <w:t>71万元。</w:t>
      </w:r>
      <w:r>
        <w:rPr>
          <w:rFonts w:ascii="仿宋_GB2312" w:hAnsi="仿宋_GB2312" w:eastAsia="仿宋_GB2312" w:cs="仿宋_GB2312"/>
          <w:color w:val="000000"/>
          <w:kern w:val="0"/>
          <w:sz w:val="32"/>
          <w:szCs w:val="32"/>
          <w:lang w:val="en-US" w:eastAsia="zh-CN"/>
        </w:rPr>
        <w:t>授予中小企业合同金</w:t>
      </w:r>
      <w:r>
        <w:rPr>
          <w:rFonts w:ascii="仿宋" w:hAnsi="仿宋" w:eastAsia="仿宋"/>
          <w:sz w:val="32"/>
          <w:szCs w:val="32"/>
        </w:rPr>
        <w:t>9</w:t>
      </w:r>
      <w:r>
        <w:rPr>
          <w:rFonts w:ascii="仿宋" w:hAnsi="仿宋" w:eastAsia="仿宋" w:cs="DengXian-Regular"/>
          <w:sz w:val="32"/>
          <w:szCs w:val="32"/>
        </w:rPr>
        <w:t>2</w:t>
      </w:r>
      <w:r>
        <w:rPr>
          <w:rFonts w:ascii="仿宋" w:hAnsi="仿宋" w:eastAsia="仿宋"/>
          <w:sz w:val="32"/>
          <w:szCs w:val="32"/>
        </w:rPr>
        <w:t>.</w:t>
      </w:r>
      <w:r>
        <w:rPr>
          <w:rFonts w:ascii="仿宋" w:hAnsi="仿宋" w:eastAsia="仿宋" w:cs="DengXian-Regular"/>
          <w:sz w:val="32"/>
          <w:szCs w:val="32"/>
        </w:rPr>
        <w:t>15</w:t>
      </w:r>
      <w:r>
        <w:rPr>
          <w:rFonts w:ascii="仿宋_GB2312" w:hAnsi="仿宋_GB2312" w:eastAsia="仿宋_GB2312" w:cs="仿宋_GB2312"/>
          <w:color w:val="000000"/>
          <w:kern w:val="0"/>
          <w:sz w:val="32"/>
          <w:szCs w:val="32"/>
          <w:lang w:val="en-US" w:eastAsia="zh-CN"/>
        </w:rPr>
        <w:t>万元，其中授予小微企业合同金额</w:t>
      </w:r>
      <w:r>
        <w:rPr>
          <w:rFonts w:ascii="仿宋" w:hAnsi="仿宋" w:eastAsia="仿宋"/>
          <w:sz w:val="32"/>
          <w:szCs w:val="32"/>
        </w:rPr>
        <w:t>9</w:t>
      </w:r>
      <w:r>
        <w:rPr>
          <w:rFonts w:ascii="仿宋" w:hAnsi="仿宋" w:eastAsia="仿宋" w:cs="DengXian-Regular"/>
          <w:sz w:val="32"/>
          <w:szCs w:val="32"/>
        </w:rPr>
        <w:t>2</w:t>
      </w:r>
      <w:r>
        <w:rPr>
          <w:rFonts w:ascii="仿宋" w:hAnsi="仿宋" w:eastAsia="仿宋"/>
          <w:sz w:val="32"/>
          <w:szCs w:val="32"/>
        </w:rPr>
        <w:t>.</w:t>
      </w:r>
      <w:r>
        <w:rPr>
          <w:rFonts w:ascii="仿宋" w:hAnsi="仿宋" w:eastAsia="仿宋" w:cs="DengXian-Regular"/>
          <w:sz w:val="32"/>
          <w:szCs w:val="32"/>
        </w:rPr>
        <w:t>15</w:t>
      </w:r>
      <w:r>
        <w:rPr>
          <w:rFonts w:ascii="仿宋_GB2312" w:hAnsi="仿宋_GB2312" w:eastAsia="仿宋_GB2312" w:cs="仿宋_GB2312"/>
          <w:color w:val="000000"/>
          <w:kern w:val="0"/>
          <w:sz w:val="32"/>
          <w:szCs w:val="32"/>
          <w:lang w:val="en-US" w:eastAsia="zh-CN"/>
        </w:rPr>
        <w:t>万元，占政府采购支出总额的 100%。</w:t>
      </w:r>
    </w:p>
    <w:p>
      <w:pPr>
        <w:pStyle w:val="7"/>
        <w:bidi w:val="0"/>
        <w:spacing w:before="0" w:beforeAutospacing="0" w:after="0" w:afterAutospacing="0" w:line="580" w:lineRule="exact"/>
        <w:ind w:firstLine="642" w:firstLineChars="200"/>
        <w:rPr>
          <w:rFonts w:ascii="楷体_GB2312" w:hAnsi="楷体_GB2312" w:eastAsia="楷体_GB2312" w:cs="DengXian-Bold"/>
        </w:rPr>
      </w:pPr>
      <w:r>
        <w:rPr>
          <w:rFonts w:ascii="楷体_GB2312" w:hAnsi="楷体_GB2312" w:eastAsia="楷体_GB2312" w:cs="DengXian-Bold"/>
        </w:rPr>
        <w:t>（三）国有资产占</w:t>
      </w:r>
      <w:r>
        <w:rPr>
          <w:rFonts w:ascii="黑体" w:hAnsi="黑体" w:eastAsia="黑体" w:cs="DengXian-Bold"/>
        </w:rPr>
        <w:t>用</w:t>
      </w:r>
      <w:r>
        <w:rPr>
          <w:rFonts w:ascii="楷体_GB2312" w:hAnsi="楷体_GB2312" w:eastAsia="楷体_GB2312" w:cs="DengXian-Bold"/>
        </w:rPr>
        <w:t>情况</w:t>
      </w:r>
    </w:p>
    <w:p>
      <w:pPr>
        <w:pStyle w:val="4"/>
        <w:bidi w:val="0"/>
        <w:snapToGrid w:val="0"/>
        <w:spacing w:beforeLines="0" w:beforeAutospacing="0" w:after="0" w:afterAutospacing="0" w:line="580" w:lineRule="exact"/>
        <w:ind w:firstLine="640" w:firstLineChars="200"/>
        <w:rPr>
          <w:rFonts w:ascii="仿宋_GB2312" w:hAnsi="仿宋_GB2312" w:eastAsia="仿宋_GB2312" w:cs="DengXian-Regular"/>
          <w:sz w:val="32"/>
          <w:szCs w:val="32"/>
        </w:rPr>
      </w:pPr>
      <w:r>
        <w:rPr>
          <w:rFonts w:ascii="仿宋_GB2312" w:hAnsi="仿宋_GB2312" w:eastAsia="仿宋_GB2312" w:cs="DengXian-Regular"/>
          <w:sz w:val="32"/>
          <w:szCs w:val="32"/>
        </w:rPr>
        <w:t>截至2018年12月31日，本部门共有车辆26辆，机要通信用车4辆，应急保障用车1辆，执法执勤用车18辆,离退休干部用车2辆，其他用车1辆，其他用车主要是后勤服务用车；</w:t>
      </w:r>
    </w:p>
    <w:p>
      <w:pPr>
        <w:pStyle w:val="4"/>
        <w:bidi w:val="0"/>
        <w:snapToGrid w:val="0"/>
        <w:spacing w:beforeLines="0" w:beforeAutospacing="0" w:after="0" w:afterAutospacing="0" w:line="580" w:lineRule="exact"/>
        <w:ind w:firstLine="640" w:firstLineChars="200"/>
        <w:rPr>
          <w:rFonts w:ascii="仿宋_GB2312" w:hAnsi="仿宋_GB2312" w:eastAsia="仿宋_GB2312" w:cs="DengXian-Regular"/>
          <w:sz w:val="32"/>
          <w:szCs w:val="32"/>
        </w:rPr>
      </w:pPr>
      <w:r>
        <w:rPr>
          <w:rFonts w:ascii="仿宋_GB2312" w:hAnsi="仿宋_GB2312" w:eastAsia="仿宋_GB2312" w:cs="DengXian-Regular"/>
          <w:sz w:val="32"/>
          <w:szCs w:val="32"/>
        </w:rPr>
        <w:t>单位价值</w:t>
      </w:r>
      <w:r>
        <w:rPr>
          <w:rFonts w:ascii="仿宋_GB2312" w:hAnsi="仿宋_GB2312" w:eastAsia="仿宋_GB2312" w:cs="TimesNewRomanPSMT"/>
          <w:sz w:val="32"/>
          <w:szCs w:val="32"/>
        </w:rPr>
        <w:t>50</w:t>
      </w:r>
      <w:r>
        <w:rPr>
          <w:rFonts w:ascii="仿宋_GB2312" w:hAnsi="仿宋_GB2312" w:eastAsia="仿宋_GB2312" w:cs="DengXian-Regular"/>
          <w:sz w:val="32"/>
          <w:szCs w:val="32"/>
        </w:rPr>
        <w:t>万元以上通用设备15台（套）。</w:t>
      </w:r>
    </w:p>
    <w:p>
      <w:pPr>
        <w:pStyle w:val="7"/>
        <w:bidi w:val="0"/>
        <w:spacing w:before="0" w:beforeAutospacing="0" w:after="0" w:afterAutospacing="0" w:line="580" w:lineRule="exact"/>
        <w:ind w:firstLine="642" w:firstLineChars="200"/>
        <w:rPr>
          <w:rFonts w:ascii="楷体_GB2312" w:hAnsi="楷体_GB2312" w:eastAsia="楷体_GB2312" w:cs="DengXian-Bold"/>
        </w:rPr>
      </w:pPr>
      <w:r>
        <w:rPr>
          <w:rFonts w:ascii="楷体_GB2312" w:hAnsi="楷体_GB2312" w:eastAsia="楷体_GB2312" w:cs="DengXian-Bold"/>
        </w:rPr>
        <w:t>（四）其他需要说明的情况</w:t>
      </w:r>
    </w:p>
    <w:p>
      <w:pPr>
        <w:pStyle w:val="4"/>
        <w:bidi w:val="0"/>
        <w:snapToGrid w:val="0"/>
        <w:spacing w:beforeLines="0" w:beforeAutospacing="0" w:after="0" w:afterAutospacing="0" w:line="580" w:lineRule="exact"/>
        <w:ind w:firstLine="640" w:firstLineChars="200"/>
        <w:rPr>
          <w:rFonts w:ascii="仿宋_GB2312" w:hAnsi="仿宋_GB2312" w:eastAsia="仿宋_GB2312" w:cs="DengXian-Regular"/>
          <w:sz w:val="32"/>
          <w:szCs w:val="32"/>
        </w:rPr>
      </w:pPr>
      <w:r>
        <w:rPr>
          <w:rFonts w:ascii="仿宋_GB2312" w:hAnsi="仿宋_GB2312" w:eastAsia="仿宋_GB2312" w:cs="DengXian-Regular"/>
          <w:sz w:val="32"/>
          <w:szCs w:val="32"/>
        </w:rPr>
        <w:t>1、本部门2018年年末结转和结余273</w:t>
      </w:r>
      <w:r>
        <w:rPr>
          <w:rFonts w:ascii="仿宋" w:hAnsi="仿宋" w:eastAsia="仿宋"/>
          <w:sz w:val="32"/>
          <w:szCs w:val="32"/>
        </w:rPr>
        <w:t>.9</w:t>
      </w:r>
      <w:r>
        <w:rPr>
          <w:rFonts w:ascii="仿宋_GB2312" w:hAnsi="仿宋_GB2312" w:eastAsia="仿宋_GB2312" w:cs="DengXian-Regular"/>
          <w:sz w:val="32"/>
          <w:szCs w:val="32"/>
        </w:rPr>
        <w:t>4万元。</w:t>
      </w:r>
    </w:p>
    <w:p>
      <w:pPr>
        <w:pStyle w:val="4"/>
        <w:bidi w:val="0"/>
        <w:snapToGrid w:val="0"/>
        <w:spacing w:beforeLines="0" w:beforeAutospacing="0" w:after="0" w:afterAutospacing="0" w:line="580" w:lineRule="exact"/>
        <w:ind w:firstLine="640" w:firstLineChars="200"/>
        <w:rPr>
          <w:rFonts w:ascii="仿宋_GB2312" w:hAnsi="仿宋_GB2312" w:eastAsia="仿宋_GB2312" w:cs="DengXian-Regular"/>
          <w:sz w:val="32"/>
          <w:szCs w:val="32"/>
        </w:rPr>
        <w:sectPr>
          <w:pgSz w:w="11906" w:h="16838"/>
          <w:pgMar w:top="2098" w:right="1474" w:bottom="1984" w:left="1588" w:header="0" w:footer="0" w:gutter="0"/>
          <w:pgNumType w:fmt="decimal"/>
          <w:cols w:space="720" w:num="1"/>
          <w:formProt w:val="0"/>
          <w:docGrid w:type="lines" w:linePitch="312" w:charSpace="43007"/>
        </w:sectPr>
      </w:pPr>
      <w:r>
        <w:rPr>
          <w:rFonts w:ascii="仿宋_GB2312" w:hAnsi="仿宋_GB2312" w:eastAsia="仿宋_GB2312" w:cs="DengXian-Regular"/>
          <w:sz w:val="32"/>
          <w:szCs w:val="32"/>
        </w:rPr>
        <w:t>2、由于决算公开表格中金额数值应当保留两位小数，公开数据为四舍五入计算结</w:t>
      </w:r>
      <w:r>
        <mc:AlternateContent>
          <mc:Choice Requires="wpg">
            <w:drawing>
              <wp:anchor distT="0" distB="0" distL="114300" distR="114300" simplePos="0" relativeHeight="1024" behindDoc="1" locked="0" layoutInCell="0" allowOverlap="1">
                <wp:simplePos x="0" y="0"/>
                <wp:positionH relativeFrom="column">
                  <wp:posOffset>-1012825</wp:posOffset>
                </wp:positionH>
                <wp:positionV relativeFrom="page">
                  <wp:posOffset>372110</wp:posOffset>
                </wp:positionV>
                <wp:extent cx="3834130" cy="558800"/>
                <wp:effectExtent l="0" t="0" r="0" b="0"/>
                <wp:wrapNone/>
                <wp:docPr id="61" name="组合 1082"/>
                <wp:cNvGraphicFramePr/>
                <a:graphic xmlns:a="http://schemas.openxmlformats.org/drawingml/2006/main">
                  <a:graphicData uri="http://schemas.microsoft.com/office/word/2010/wordprocessingGroup">
                    <wpg:wgp>
                      <wpg:cNvGrpSpPr/>
                      <wpg:grpSpPr>
                        <a:xfrm>
                          <a:off x="0" y="0"/>
                          <a:ext cx="3833640" cy="558000"/>
                          <a:chOff x="0" y="0"/>
                          <a:chExt cx="3833640" cy="558000"/>
                        </a:xfrm>
                      </wpg:grpSpPr>
                      <wps:wsp>
                        <wps:cNvPr id="62" name="矩形 62"/>
                        <wps:cNvSpPr/>
                        <wps:spPr>
                          <a:xfrm>
                            <a:off x="0" y="0"/>
                            <a:ext cx="3833640" cy="469440"/>
                          </a:xfrm>
                          <a:prstGeom prst="rect">
                            <a:avLst/>
                          </a:prstGeom>
                          <a:solidFill>
                            <a:srgbClr val="D8D8D8"/>
                          </a:solidFill>
                          <a:ln w="0">
                            <a:noFill/>
                          </a:ln>
                        </wps:spPr>
                        <wps:bodyPr/>
                      </wps:wsp>
                      <wps:wsp>
                        <wps:cNvPr id="63" name="文本框 63"/>
                        <wps:cNvSpPr txBox="true"/>
                        <wps:spPr>
                          <a:xfrm>
                            <a:off x="11520" y="109800"/>
                            <a:ext cx="3733920" cy="448200"/>
                          </a:xfrm>
                          <a:prstGeom prst="rect">
                            <a:avLst/>
                          </a:prstGeom>
                          <a:solidFill>
                            <a:srgbClr val="AD002D"/>
                          </a:solidFill>
                          <a:ln w="25560">
                            <a:solidFill>
                              <a:srgbClr val="AF7621"/>
                            </a:solidFill>
                            <a:round/>
                          </a:ln>
                        </wps:spPr>
                        <wps:txb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2018年度部门决算☞部门决算情况说明</w:t>
                              </w:r>
                            </w:p>
                            <w:p>
                              <w:pPr>
                                <w:overflowPunct w:val="0"/>
                                <w:bidi w:val="0"/>
                                <w:spacing w:beforeLines="0" w:beforeAutospacing="0" w:afterLines="0" w:afterAutospacing="0" w:line="240" w:lineRule="auto"/>
                                <w:jc w:val="center"/>
                              </w:pPr>
                            </w:p>
                          </w:txbxContent>
                        </wps:txbx>
                        <wps:bodyPr wrap="square">
                          <a:noAutofit/>
                        </wps:bodyPr>
                      </wps:wsp>
                    </wpg:wgp>
                  </a:graphicData>
                </a:graphic>
              </wp:anchor>
            </w:drawing>
          </mc:Choice>
          <mc:Fallback>
            <w:pict>
              <v:group id="组合 1082" o:spid="_x0000_s1026" o:spt="203" style="position:absolute;left:0pt;margin-left:-79.75pt;margin-top:29.3pt;height:44pt;width:301.9pt;mso-position-vertical-relative:page;z-index:-503315456;mso-width-relative:page;mso-height-relative:page;" coordsize="3833640,558000" o:allowincell="f" o:gfxdata="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neSmb9sAAAALAQAADwAAAAAAAAABACAAAAA4AAAAZHJzL2Rvd25yZXYueG1sUEsBAhQAFAAA&#10;AAgAh07iQMxCb42BAgAAQAYAAA4AAAAAAAAAAQAgAAAAQAEAAGRycy9lMm9Eb2MueG1sUEsFBgAA&#10;AAAGAAYAWQEAADMGAAAAAA==&#10;">
                <o:lock v:ext="edit" aspectratio="f"/>
                <v:rect id="_x0000_s1026" o:spid="_x0000_s1026" o:spt="1" style="position:absolute;left:0;top:0;height:469440;width:3833640;" fillcolor="#D8D8D8" filled="t" stroked="f" coordsize="21600,21600" o:gfxdata="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vViPJvAAAANsAAAAPAAAAAAAAAAEAIAAAADgAAABkcnMvZG93bnJldi54&#10;bWxQSwECFAAUAAAACACHTuJAMy8FnjsAAAA5AAAAEAAAAAAAAAABACAAAAAhAQAAZHJzL3NoYXBl&#10;eG1sLnhtbFBLBQYAAAAABgAGAFsBAADLAwAAAAA=&#10;">
                  <v:fill on="t" focussize="0,0"/>
                  <v:stroke on="f" weight="0pt"/>
                  <v:imagedata o:title=""/>
                  <o:lock v:ext="edit" aspectratio="f"/>
                </v:rect>
                <v:shape id="_x0000_s1026" o:spid="_x0000_s1026" o:spt="202" type="#_x0000_t202" style="position:absolute;left:11520;top:109800;height:448200;width:3733920;" fillcolor="#AD002D" filled="t" stroked="t" coordsize="21600,21600" o:gfxdata="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2D7tr0AAADbAAAADwAAAAAAAAABACAAAAA4AAAAZHJzL2Rvd25yZXYu&#10;eG1sUEsBAhQAFAAAAAgAh07iQDMvBZ47AAAAOQAAABAAAAAAAAAAAQAgAAAAIgEAAGRycy9zaGFw&#10;ZXhtbC54bWxQSwUGAAAAAAYABgBbAQAAzAMAAAAA&#10;">
                  <v:fill on="t" focussize="0,0"/>
                  <v:stroke weight="2.01259842519685pt" color="#AF7621" joinstyle="round"/>
                  <v:imagedata o:title=""/>
                  <o:lock v:ext="edit" aspectratio="f"/>
                  <v:textbo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2018年度部门决算☞部门决算情况说明</w:t>
                        </w:r>
                      </w:p>
                      <w:p>
                        <w:pPr>
                          <w:overflowPunct w:val="0"/>
                          <w:bidi w:val="0"/>
                          <w:spacing w:beforeLines="0" w:beforeAutospacing="0" w:afterLines="0" w:afterAutospacing="0" w:line="240" w:lineRule="auto"/>
                          <w:jc w:val="center"/>
                        </w:pPr>
                      </w:p>
                    </w:txbxContent>
                  </v:textbox>
                </v:shape>
              </v:group>
            </w:pict>
          </mc:Fallback>
        </mc:AlternateContent>
      </w:r>
      <w:r>
        <w:rPr>
          <w:rFonts w:ascii="仿宋_GB2312" w:hAnsi="仿宋_GB2312" w:eastAsia="仿宋_GB2312" w:cs="DengXian-Regular"/>
          <w:sz w:val="32"/>
          <w:szCs w:val="32"/>
        </w:rPr>
        <w:t>果，个别数据合计项与分项之和存在小数点后差额，特此说明。</w:t>
      </w:r>
    </w:p>
    <w:p>
      <w:pPr>
        <w:pStyle w:val="4"/>
        <w:bidi w:val="0"/>
        <w:sectPr>
          <w:pgSz w:w="11906" w:h="16838"/>
          <w:pgMar w:top="2098" w:right="1474" w:bottom="1984" w:left="1588" w:header="0" w:footer="0" w:gutter="0"/>
          <w:pgNumType w:fmt="decimal"/>
          <w:cols w:space="720" w:num="1"/>
          <w:formProt w:val="0"/>
          <w:docGrid w:type="lines" w:linePitch="312" w:charSpace="43007"/>
        </w:sectPr>
      </w:pPr>
      <w:r>
        <w:drawing>
          <wp:anchor distT="0" distB="0" distL="0" distR="0" simplePos="0" relativeHeight="1024" behindDoc="1" locked="0" layoutInCell="0" allowOverlap="1">
            <wp:simplePos x="0" y="0"/>
            <wp:positionH relativeFrom="column">
              <wp:posOffset>-1007110</wp:posOffset>
            </wp:positionH>
            <wp:positionV relativeFrom="paragraph">
              <wp:posOffset>-1336040</wp:posOffset>
            </wp:positionV>
            <wp:extent cx="7550785" cy="10680700"/>
            <wp:effectExtent l="0" t="0" r="0" b="0"/>
            <wp:wrapNone/>
            <wp:docPr id="64" name="图片 21"/>
            <wp:cNvGraphicFramePr/>
            <a:graphic xmlns:a="http://schemas.openxmlformats.org/drawingml/2006/main">
              <a:graphicData uri="http://schemas.openxmlformats.org/drawingml/2006/picture">
                <pic:pic xmlns:pic="http://schemas.openxmlformats.org/drawingml/2006/picture">
                  <pic:nvPicPr>
                    <pic:cNvPr id="64" name="图片 21"/>
                    <pic:cNvPicPr/>
                  </pic:nvPicPr>
                  <pic:blipFill>
                    <a:blip r:embed="rId6"/>
                    <a:stretch>
                      <a:fillRect/>
                    </a:stretch>
                  </pic:blipFill>
                  <pic:spPr>
                    <a:xfrm>
                      <a:off x="0" y="0"/>
                      <a:ext cx="7550280" cy="10680120"/>
                    </a:xfrm>
                    <a:prstGeom prst="rect">
                      <a:avLst/>
                    </a:prstGeom>
                    <a:ln w="0">
                      <a:noFill/>
                    </a:ln>
                  </pic:spPr>
                </pic:pic>
              </a:graphicData>
            </a:graphic>
          </wp:anchor>
        </w:drawing>
      </w:r>
      <w:r>
        <mc:AlternateContent>
          <mc:Choice Requires="wps">
            <w:drawing>
              <wp:anchor distT="0" distB="0" distL="114300" distR="114300" simplePos="0" relativeHeight="1024" behindDoc="0" locked="0" layoutInCell="0" allowOverlap="1">
                <wp:simplePos x="0" y="0"/>
                <wp:positionH relativeFrom="column">
                  <wp:posOffset>-998220</wp:posOffset>
                </wp:positionH>
                <wp:positionV relativeFrom="paragraph">
                  <wp:posOffset>2956560</wp:posOffset>
                </wp:positionV>
                <wp:extent cx="7560310" cy="2020570"/>
                <wp:effectExtent l="0" t="0" r="0" b="0"/>
                <wp:wrapNone/>
                <wp:docPr id="65" name="文本框 65"/>
                <wp:cNvGraphicFramePr/>
                <a:graphic xmlns:a="http://schemas.openxmlformats.org/drawingml/2006/main">
                  <a:graphicData uri="http://schemas.microsoft.com/office/word/2010/wordprocessingShape">
                    <wps:wsp>
                      <wps:cNvSpPr txBox="true"/>
                      <wps:spPr>
                        <a:xfrm>
                          <a:off x="0" y="0"/>
                          <a:ext cx="7560310" cy="2020570"/>
                        </a:xfrm>
                        <a:prstGeom prst="rect">
                          <a:avLst/>
                        </a:prstGeom>
                        <a:solidFill>
                          <a:srgbClr val="FFFFFF">
                            <a:alpha val="0"/>
                          </a:srgbClr>
                        </a:solidFill>
                      </wps:spPr>
                      <wps:txbx>
                        <w:txbxContent>
                          <w:p>
                            <w:pPr>
                              <w:pStyle w:val="10"/>
                              <w:widowControl/>
                              <w:bidi w:val="0"/>
                              <w:spacing w:line="1200" w:lineRule="exact"/>
                              <w:jc w:val="center"/>
                              <w:rPr>
                                <w:rFonts w:ascii="黑体" w:hAnsi="黑体" w:eastAsia="黑体"/>
                                <w:color w:val="FDEFBE"/>
                                <w:sz w:val="96"/>
                                <w:szCs w:val="96"/>
                              </w:rPr>
                            </w:pPr>
                            <w:r>
                              <w:rPr>
                                <w:rFonts w:ascii="黑体" w:hAnsi="黑体" w:eastAsia="黑体"/>
                                <w:color w:val="FDEFBE"/>
                                <w:sz w:val="96"/>
                                <w:szCs w:val="96"/>
                              </w:rPr>
                              <w:t>第四部分</w:t>
                            </w:r>
                          </w:p>
                          <w:p>
                            <w:pPr>
                              <w:pStyle w:val="10"/>
                              <w:widowControl/>
                              <w:bidi w:val="0"/>
                              <w:spacing w:beforeLines="0" w:beforeAutospacing="0" w:after="160" w:afterAutospacing="0" w:line="1200" w:lineRule="exact"/>
                              <w:jc w:val="center"/>
                              <w:rPr>
                                <w:color w:val="FDEFBE"/>
                                <w:sz w:val="96"/>
                                <w:szCs w:val="96"/>
                              </w:rPr>
                            </w:pPr>
                            <w:r>
                              <w:rPr>
                                <w:rFonts w:ascii="黑体" w:hAnsi="黑体" w:eastAsia="黑体"/>
                                <w:color w:val="FDEFBE"/>
                                <w:sz w:val="96"/>
                                <w:szCs w:val="96"/>
                              </w:rPr>
                              <w:t>相关名词解释</w:t>
                            </w:r>
                          </w:p>
                        </w:txbxContent>
                      </wps:txbx>
                      <wps:bodyPr lIns="91440" tIns="45720" rIns="91440" bIns="45720" anchor="t">
                        <a:noAutofit/>
                      </wps:bodyPr>
                    </wps:wsp>
                  </a:graphicData>
                </a:graphic>
              </wp:anchor>
            </w:drawing>
          </mc:Choice>
          <mc:Fallback>
            <w:pict>
              <v:shape id="_x0000_s1026" o:spid="_x0000_s1026" o:spt="202" type="#_x0000_t202" style="position:absolute;left:0pt;margin-left:-78.6pt;margin-top:232.8pt;height:159.1pt;width:595.3pt;z-index:1024;mso-width-relative:page;mso-height-relative:page;" fillcolor="#FFFFFF" filled="t" stroked="f" coordsize="21600,21600" o:allowincell="f" o:gfxdata="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EvBL/fc&#10;AAAADQEAAA8AAAAAAAAAAQAgAAAAOAAAAGRycy9kb3ducmV2LnhtbFBLAQIUABQAAAAIAIdO4kD+&#10;wIkjzQEAAIEDAAAOAAAAAAAAAAEAIAAAAEEBAABkcnMvZTJvRG9jLnhtbFBLBQYAAAAABgAGAFkB&#10;AACABQAAAAA=&#10;">
                <v:fill on="t" opacity="0f" focussize="0,0"/>
                <v:stroke on="f"/>
                <v:imagedata o:title=""/>
                <o:lock v:ext="edit" aspectratio="f"/>
                <v:textbox>
                  <w:txbxContent>
                    <w:p>
                      <w:pPr>
                        <w:pStyle w:val="10"/>
                        <w:widowControl/>
                        <w:bidi w:val="0"/>
                        <w:spacing w:line="1200" w:lineRule="exact"/>
                        <w:jc w:val="center"/>
                        <w:rPr>
                          <w:rFonts w:ascii="黑体" w:hAnsi="黑体" w:eastAsia="黑体"/>
                          <w:color w:val="FDEFBE"/>
                          <w:sz w:val="96"/>
                          <w:szCs w:val="96"/>
                        </w:rPr>
                      </w:pPr>
                      <w:r>
                        <w:rPr>
                          <w:rFonts w:ascii="黑体" w:hAnsi="黑体" w:eastAsia="黑体"/>
                          <w:color w:val="FDEFBE"/>
                          <w:sz w:val="96"/>
                          <w:szCs w:val="96"/>
                        </w:rPr>
                        <w:t>第四部分</w:t>
                      </w:r>
                    </w:p>
                    <w:p>
                      <w:pPr>
                        <w:pStyle w:val="10"/>
                        <w:widowControl/>
                        <w:bidi w:val="0"/>
                        <w:spacing w:beforeLines="0" w:beforeAutospacing="0" w:after="160" w:afterAutospacing="0" w:line="1200" w:lineRule="exact"/>
                        <w:jc w:val="center"/>
                        <w:rPr>
                          <w:color w:val="FDEFBE"/>
                          <w:sz w:val="96"/>
                          <w:szCs w:val="96"/>
                        </w:rPr>
                      </w:pPr>
                      <w:r>
                        <w:rPr>
                          <w:rFonts w:ascii="黑体" w:hAnsi="黑体" w:eastAsia="黑体"/>
                          <w:color w:val="FDEFBE"/>
                          <w:sz w:val="96"/>
                          <w:szCs w:val="96"/>
                        </w:rPr>
                        <w:t>相关名词解释</w:t>
                      </w:r>
                    </w:p>
                  </w:txbxContent>
                </v:textbox>
              </v:shape>
            </w:pict>
          </mc:Fallback>
        </mc:AlternateContent>
      </w:r>
    </w:p>
    <w:p>
      <w:pPr>
        <w:pStyle w:val="4"/>
        <w:widowControl/>
        <w:bidi w:val="0"/>
        <w:spacing w:beforeLines="0" w:beforeAutospacing="0" w:after="0" w:afterAutospacing="0" w:line="560" w:lineRule="exact"/>
        <w:ind w:firstLine="642" w:firstLineChars="200"/>
        <w:rPr>
          <w:rFonts w:ascii="仿宋_GB2312" w:hAnsi="仿宋_GB2312" w:eastAsia="仿宋_GB2312"/>
          <w:color w:val="000000"/>
          <w:kern w:val="0"/>
          <w:sz w:val="32"/>
          <w:szCs w:val="32"/>
        </w:rPr>
      </w:pPr>
      <w:r>
        <w:rPr>
          <w:rFonts w:ascii="仿宋_GB2312" w:hAnsi="仿宋_GB2312" w:eastAsia="仿宋_GB2312"/>
          <w:b/>
          <w:bCs/>
          <w:color w:val="000000"/>
          <w:kern w:val="0"/>
          <w:sz w:val="32"/>
          <w:szCs w:val="32"/>
        </w:rPr>
        <w:t>（一）财政拨款收入：</w:t>
      </w:r>
      <w:r>
        <w:rPr>
          <w:rFonts w:ascii="仿宋_GB2312" w:hAnsi="仿宋_GB2312" w:eastAsia="仿宋_GB2312"/>
          <w:color w:val="000000"/>
          <w:kern w:val="0"/>
          <w:sz w:val="32"/>
          <w:szCs w:val="32"/>
        </w:rPr>
        <w:t>本年度从本级财政部门取得的财政拨款，包括一般公共预算财政拨款和政府性基金预算财政拨款。</w:t>
      </w:r>
    </w:p>
    <w:p>
      <w:pPr>
        <w:pStyle w:val="4"/>
        <w:widowControl/>
        <w:bidi w:val="0"/>
        <w:spacing w:beforeLines="0" w:beforeAutospacing="0" w:after="0" w:afterAutospacing="0" w:line="560" w:lineRule="exact"/>
        <w:ind w:firstLine="642" w:firstLineChars="200"/>
        <w:rPr>
          <w:rFonts w:ascii="仿宋_GB2312" w:hAnsi="仿宋_GB2312" w:eastAsia="仿宋_GB2312"/>
          <w:color w:val="000000"/>
          <w:kern w:val="0"/>
          <w:sz w:val="32"/>
          <w:szCs w:val="32"/>
        </w:rPr>
      </w:pPr>
      <w:r>
        <w:rPr>
          <w:rFonts w:ascii="仿宋_GB2312" w:hAnsi="仿宋_GB2312" w:eastAsia="仿宋_GB2312"/>
          <w:b/>
          <w:bCs/>
          <w:color w:val="000000"/>
          <w:kern w:val="0"/>
          <w:sz w:val="32"/>
          <w:szCs w:val="32"/>
        </w:rPr>
        <w:t>（二）事业收入：</w:t>
      </w:r>
      <w:r>
        <w:rPr>
          <w:rFonts w:ascii="仿宋_GB2312" w:hAnsi="仿宋_GB2312" w:eastAsia="仿宋_GB2312"/>
          <w:color w:val="000000"/>
          <w:kern w:val="0"/>
          <w:sz w:val="32"/>
          <w:szCs w:val="32"/>
        </w:rPr>
        <w:t>指事业单位开展专业业务活动及辅助活动所取得的收入。</w:t>
      </w:r>
    </w:p>
    <w:p>
      <w:pPr>
        <w:pStyle w:val="4"/>
        <w:widowControl/>
        <w:bidi w:val="0"/>
        <w:spacing w:beforeLines="0" w:beforeAutospacing="0" w:after="0" w:afterAutospacing="0" w:line="560" w:lineRule="exact"/>
        <w:ind w:firstLine="642" w:firstLineChars="200"/>
        <w:rPr>
          <w:rFonts w:ascii="仿宋_GB2312" w:hAnsi="仿宋_GB2312" w:eastAsia="仿宋_GB2312"/>
          <w:color w:val="000000"/>
          <w:kern w:val="0"/>
          <w:sz w:val="32"/>
          <w:szCs w:val="32"/>
        </w:rPr>
      </w:pPr>
      <w:r>
        <w:rPr>
          <w:rFonts w:ascii="仿宋_GB2312" w:hAnsi="仿宋_GB2312" w:eastAsia="仿宋_GB2312"/>
          <w:b/>
          <w:bCs/>
          <w:color w:val="000000"/>
          <w:kern w:val="0"/>
          <w:sz w:val="32"/>
          <w:szCs w:val="32"/>
        </w:rPr>
        <w:t>（三）其他收入：</w:t>
      </w:r>
      <w:r>
        <w:rPr>
          <w:rFonts w:ascii="仿宋_GB2312" w:hAnsi="仿宋_GB2312" w:eastAsia="仿宋_GB2312"/>
          <w:color w:val="000000"/>
          <w:kern w:val="0"/>
          <w:sz w:val="32"/>
          <w:szCs w:val="32"/>
        </w:rPr>
        <w:t>指除上述“财政拨款收入”、“事业收入”、“经营收入”等以外的收入。</w:t>
      </w:r>
    </w:p>
    <w:p>
      <w:pPr>
        <w:pStyle w:val="4"/>
        <w:widowControl/>
        <w:bidi w:val="0"/>
        <w:spacing w:beforeLines="0" w:beforeAutospacing="0" w:after="0" w:afterAutospacing="0" w:line="560" w:lineRule="exact"/>
        <w:ind w:firstLine="642" w:firstLineChars="200"/>
        <w:rPr>
          <w:rFonts w:ascii="仿宋_GB2312" w:hAnsi="仿宋_GB2312" w:eastAsia="仿宋_GB2312"/>
          <w:color w:val="000000"/>
          <w:kern w:val="0"/>
          <w:sz w:val="32"/>
          <w:szCs w:val="32"/>
        </w:rPr>
      </w:pPr>
      <w:r>
        <w:rPr>
          <w:rFonts w:ascii="仿宋_GB2312" w:hAnsi="仿宋_GB2312" w:eastAsia="仿宋_GB2312"/>
          <w:b/>
          <w:bCs/>
          <w:color w:val="000000"/>
          <w:kern w:val="0"/>
          <w:sz w:val="32"/>
          <w:szCs w:val="32"/>
        </w:rPr>
        <w:t>（四）用事业基金弥补收支差额：</w:t>
      </w:r>
      <w:r>
        <w:rPr>
          <w:rFonts w:ascii="仿宋_GB2312" w:hAnsi="仿宋_GB2312"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pStyle w:val="4"/>
        <w:widowControl/>
        <w:bidi w:val="0"/>
        <w:spacing w:beforeLines="0" w:beforeAutospacing="0" w:after="0" w:afterAutospacing="0" w:line="560" w:lineRule="exact"/>
        <w:ind w:firstLine="642" w:firstLineChars="200"/>
        <w:rPr>
          <w:rFonts w:ascii="仿宋_GB2312" w:hAnsi="仿宋_GB2312" w:eastAsia="仿宋_GB2312"/>
          <w:color w:val="000000"/>
          <w:kern w:val="0"/>
          <w:sz w:val="32"/>
          <w:szCs w:val="32"/>
        </w:rPr>
      </w:pPr>
      <w:r>
        <w:rPr>
          <w:rFonts w:ascii="仿宋_GB2312" w:hAnsi="仿宋_GB2312" w:eastAsia="仿宋_GB2312"/>
          <w:b/>
          <w:bCs/>
          <w:color w:val="000000"/>
          <w:kern w:val="0"/>
          <w:sz w:val="32"/>
          <w:szCs w:val="32"/>
        </w:rPr>
        <w:t>（五）年初结转和结余：</w:t>
      </w:r>
      <w:r>
        <w:rPr>
          <w:rFonts w:ascii="仿宋_GB2312" w:hAnsi="仿宋_GB2312" w:eastAsia="仿宋_GB2312"/>
          <w:color w:val="000000"/>
          <w:kern w:val="0"/>
          <w:sz w:val="32"/>
          <w:szCs w:val="32"/>
        </w:rPr>
        <w:t>指以前年度尚未完成、结转到本年仍按原规定用途继续使用的资金，或项目已完成等产生的结余资金。</w:t>
      </w:r>
    </w:p>
    <w:p>
      <w:pPr>
        <w:pStyle w:val="4"/>
        <w:widowControl/>
        <w:bidi w:val="0"/>
        <w:spacing w:beforeLines="0" w:beforeAutospacing="0" w:after="0" w:afterAutospacing="0" w:line="560" w:lineRule="exact"/>
        <w:ind w:firstLine="642" w:firstLineChars="200"/>
        <w:rPr>
          <w:rFonts w:ascii="仿宋_GB2312" w:hAnsi="仿宋_GB2312" w:eastAsia="仿宋_GB2312"/>
          <w:color w:val="000000"/>
          <w:kern w:val="0"/>
          <w:sz w:val="32"/>
          <w:szCs w:val="32"/>
        </w:rPr>
      </w:pPr>
      <w:r>
        <w:rPr>
          <w:rFonts w:ascii="仿宋_GB2312" w:hAnsi="仿宋_GB2312" w:eastAsia="仿宋_GB2312"/>
          <w:b/>
          <w:bCs/>
          <w:color w:val="000000"/>
          <w:kern w:val="0"/>
          <w:sz w:val="32"/>
          <w:szCs w:val="32"/>
        </w:rPr>
        <w:t>（六）结余分配：</w:t>
      </w:r>
      <w:r>
        <w:rPr>
          <w:rFonts w:ascii="仿宋_GB2312" w:hAnsi="仿宋_GB2312" w:eastAsia="仿宋_GB2312"/>
          <w:color w:val="000000"/>
          <w:kern w:val="0"/>
          <w:sz w:val="32"/>
          <w:szCs w:val="32"/>
        </w:rPr>
        <w:t>指事业单位按照事业单位会计制度的规定从非财政补助结余中分配的事业基金和职工福利基金等。</w:t>
      </w:r>
    </w:p>
    <w:p>
      <w:pPr>
        <w:pStyle w:val="4"/>
        <w:widowControl/>
        <w:bidi w:val="0"/>
        <w:spacing w:beforeLines="0" w:beforeAutospacing="0" w:after="0" w:afterAutospacing="0" w:line="560" w:lineRule="exact"/>
        <w:ind w:firstLine="642" w:firstLineChars="200"/>
        <w:rPr>
          <w:rFonts w:ascii="仿宋_GB2312" w:hAnsi="仿宋_GB2312" w:eastAsia="仿宋_GB2312"/>
          <w:color w:val="000000"/>
          <w:kern w:val="0"/>
          <w:sz w:val="32"/>
          <w:szCs w:val="32"/>
        </w:rPr>
      </w:pPr>
      <w:r>
        <w:rPr>
          <w:rFonts w:ascii="仿宋_GB2312" w:hAnsi="仿宋_GB2312" w:eastAsia="仿宋_GB2312"/>
          <w:b/>
          <w:bCs/>
          <w:color w:val="000000"/>
          <w:kern w:val="0"/>
          <w:sz w:val="32"/>
          <w:szCs w:val="32"/>
        </w:rPr>
        <w:t>（七）</w:t>
      </w:r>
      <w:r>
        <w:rPr>
          <w:rFonts w:ascii="宋体" w:hAnsi="宋体"/>
          <w:b/>
          <w:bCs/>
          <w:color w:val="000000"/>
          <w:kern w:val="0"/>
          <w:sz w:val="32"/>
          <w:szCs w:val="32"/>
        </w:rPr>
        <w:t>年末结转和结</w:t>
      </w:r>
      <w:r>
        <mc:AlternateContent>
          <mc:Choice Requires="wpg">
            <w:drawing>
              <wp:anchor distT="0" distB="0" distL="114300" distR="114300" simplePos="0" relativeHeight="1024" behindDoc="1" locked="0" layoutInCell="0" allowOverlap="1">
                <wp:simplePos x="0" y="0"/>
                <wp:positionH relativeFrom="column">
                  <wp:posOffset>-1027430</wp:posOffset>
                </wp:positionH>
                <wp:positionV relativeFrom="page">
                  <wp:posOffset>503555</wp:posOffset>
                </wp:positionV>
                <wp:extent cx="3364230" cy="558800"/>
                <wp:effectExtent l="0" t="0" r="0" b="0"/>
                <wp:wrapNone/>
                <wp:docPr id="66" name="组合 1087"/>
                <wp:cNvGraphicFramePr/>
                <a:graphic xmlns:a="http://schemas.openxmlformats.org/drawingml/2006/main">
                  <a:graphicData uri="http://schemas.microsoft.com/office/word/2010/wordprocessingGroup">
                    <wpg:wgp>
                      <wpg:cNvGrpSpPr/>
                      <wpg:grpSpPr>
                        <a:xfrm>
                          <a:off x="0" y="0"/>
                          <a:ext cx="3363480" cy="558000"/>
                          <a:chOff x="0" y="0"/>
                          <a:chExt cx="3363480" cy="558000"/>
                        </a:xfrm>
                      </wpg:grpSpPr>
                      <wps:wsp>
                        <wps:cNvPr id="67" name="矩形 67"/>
                        <wps:cNvSpPr/>
                        <wps:spPr>
                          <a:xfrm>
                            <a:off x="0" y="0"/>
                            <a:ext cx="3363480" cy="469440"/>
                          </a:xfrm>
                          <a:prstGeom prst="rect">
                            <a:avLst/>
                          </a:prstGeom>
                          <a:solidFill>
                            <a:srgbClr val="D8D8D8"/>
                          </a:solidFill>
                          <a:ln w="0">
                            <a:noFill/>
                          </a:ln>
                        </wps:spPr>
                        <wps:bodyPr/>
                      </wps:wsp>
                      <wps:wsp>
                        <wps:cNvPr id="68" name="文本框 68"/>
                        <wps:cNvSpPr txBox="true"/>
                        <wps:spPr>
                          <a:xfrm>
                            <a:off x="10800" y="109800"/>
                            <a:ext cx="3276000" cy="448200"/>
                          </a:xfrm>
                          <a:prstGeom prst="rect">
                            <a:avLst/>
                          </a:prstGeom>
                          <a:solidFill>
                            <a:srgbClr val="AD002D"/>
                          </a:solidFill>
                          <a:ln w="25560">
                            <a:solidFill>
                              <a:srgbClr val="AF7621"/>
                            </a:solidFill>
                            <a:round/>
                          </a:ln>
                        </wps:spPr>
                        <wps:txb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2018年度部门决算☞名词解释</w:t>
                              </w:r>
                            </w:p>
                            <w:p>
                              <w:pPr>
                                <w:overflowPunct w:val="0"/>
                                <w:bidi w:val="0"/>
                                <w:spacing w:beforeLines="0" w:beforeAutospacing="0" w:afterLines="0" w:afterAutospacing="0" w:line="240" w:lineRule="auto"/>
                                <w:jc w:val="center"/>
                              </w:pPr>
                            </w:p>
                          </w:txbxContent>
                        </wps:txbx>
                        <wps:bodyPr wrap="square">
                          <a:noAutofit/>
                        </wps:bodyPr>
                      </wps:wsp>
                    </wpg:wgp>
                  </a:graphicData>
                </a:graphic>
              </wp:anchor>
            </w:drawing>
          </mc:Choice>
          <mc:Fallback>
            <w:pict>
              <v:group id="组合 1087" o:spid="_x0000_s1026" o:spt="203" style="position:absolute;left:0pt;margin-left:-80.9pt;margin-top:39.65pt;height:44pt;width:264.9pt;mso-position-vertical-relative:page;z-index:-503315456;mso-width-relative:page;mso-height-relative:page;" coordsize="3363480,558000" o:allowincell="f" o:gfxdata="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WAAAAZHJzL1BLAQIU&#10;ABQAAAAIAIdO4kDSGzIq2gAAAAsBAAAPAAAAAAAAAAEAIAAAADgAAABkcnMvZG93bnJldi54bWxQ&#10;SwECFAAUAAAACACHTuJALIQeDIoCAABABgAADgAAAAAAAAABACAAAAA/AQAAZHJzL2Uyb0RvYy54&#10;bWxQSwUGAAAAAAYABgBZAQAAOwYAAAAA&#10;">
                <o:lock v:ext="edit" aspectratio="f"/>
                <v:rect id="_x0000_s1026" o:spid="_x0000_s1026" o:spt="1" style="position:absolute;left:0;top:0;height:469440;width:3363480;" fillcolor="#D8D8D8" filled="t" stroked="f" coordsize="21600,21600" o:gfxdata="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yGAUb0AAADbAAAADwAAAAAAAAABACAAAAA4AAAAZHJzL2Rvd25yZXYu&#10;eG1sUEsBAhQAFAAAAAgAh07iQDMvBZ47AAAAOQAAABAAAAAAAAAAAQAgAAAAIgEAAGRycy9zaGFw&#10;ZXhtbC54bWxQSwUGAAAAAAYABgBbAQAAzAMAAAAA&#10;">
                  <v:fill on="t" focussize="0,0"/>
                  <v:stroke on="f" weight="0pt"/>
                  <v:imagedata o:title=""/>
                  <o:lock v:ext="edit" aspectratio="f"/>
                </v:rect>
                <v:shape id="_x0000_s1026" o:spid="_x0000_s1026" o:spt="202" type="#_x0000_t202" style="position:absolute;left:10800;top:109800;height:448200;width:3276000;" fillcolor="#AD002D" filled="t" stroked="t" coordsize="21600,21600" o:gfxdata="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FxGnHuQAAANsAAAAPAAAAAAAAAAEAIAAAADgAAABkcnMvZG93bnJldi54bWxQ&#10;SwECFAAUAAAACACHTuJAMy8FnjsAAAA5AAAAEAAAAAAAAAABACAAAAAeAQAAZHJzL3NoYXBleG1s&#10;LnhtbFBLBQYAAAAABgAGAFsBAADIAwAAAAA=&#10;">
                  <v:fill on="t" focussize="0,0"/>
                  <v:stroke weight="2.01259842519685pt" color="#AF7621" joinstyle="round"/>
                  <v:imagedata o:title=""/>
                  <o:lock v:ext="edit" aspectratio="f"/>
                  <v:textbo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2018年度部门决算☞名词解释</w:t>
                        </w:r>
                      </w:p>
                      <w:p>
                        <w:pPr>
                          <w:overflowPunct w:val="0"/>
                          <w:bidi w:val="0"/>
                          <w:spacing w:beforeLines="0" w:beforeAutospacing="0" w:afterLines="0" w:afterAutospacing="0" w:line="240" w:lineRule="auto"/>
                          <w:jc w:val="center"/>
                        </w:pPr>
                      </w:p>
                    </w:txbxContent>
                  </v:textbox>
                </v:shape>
              </v:group>
            </w:pict>
          </mc:Fallback>
        </mc:AlternateContent>
      </w:r>
      <w:r>
        <w:rPr>
          <w:rFonts w:ascii="宋体" w:hAnsi="宋体"/>
          <w:b/>
          <w:bCs/>
          <w:color w:val="000000"/>
          <w:kern w:val="0"/>
          <w:sz w:val="32"/>
          <w:szCs w:val="32"/>
        </w:rPr>
        <w:t>余</w:t>
      </w:r>
      <w:r>
        <w:rPr>
          <w:rFonts w:ascii="仿宋_GB2312" w:hAnsi="仿宋_GB2312" w:eastAsia="仿宋_GB2312"/>
          <w:b/>
          <w:bCs/>
          <w:color w:val="000000"/>
          <w:kern w:val="0"/>
          <w:sz w:val="32"/>
          <w:szCs w:val="32"/>
        </w:rPr>
        <w:t>：</w:t>
      </w:r>
      <w:r>
        <w:rPr>
          <w:rFonts w:ascii="仿宋_GB2312" w:hAnsi="仿宋_GB2312" w:eastAsia="仿宋_GB2312"/>
          <w:color w:val="000000"/>
          <w:kern w:val="0"/>
          <w:sz w:val="32"/>
          <w:szCs w:val="32"/>
        </w:rPr>
        <w:t>指单位按有关规定结转到下年或以后年度继续使用的资金，或项目已完成等产生的结余资金。</w:t>
      </w:r>
    </w:p>
    <w:p>
      <w:pPr>
        <w:pStyle w:val="4"/>
        <w:widowControl/>
        <w:bidi w:val="0"/>
        <w:spacing w:beforeLines="0" w:beforeAutospacing="0" w:after="0" w:afterAutospacing="0" w:line="560" w:lineRule="exact"/>
        <w:ind w:firstLine="642" w:firstLineChars="200"/>
        <w:rPr>
          <w:rFonts w:ascii="仿宋_GB2312" w:hAnsi="仿宋_GB2312" w:eastAsia="仿宋_GB2312"/>
          <w:color w:val="000000"/>
          <w:kern w:val="0"/>
          <w:sz w:val="32"/>
          <w:szCs w:val="32"/>
        </w:rPr>
      </w:pPr>
      <w:r>
        <w:rPr>
          <w:rFonts w:ascii="仿宋_GB2312" w:hAnsi="仿宋_GB2312" w:eastAsia="仿宋_GB2312"/>
          <w:b/>
          <w:bCs/>
          <w:color w:val="000000"/>
          <w:kern w:val="0"/>
          <w:sz w:val="32"/>
          <w:szCs w:val="32"/>
        </w:rPr>
        <w:t>（八）基本支出：</w:t>
      </w:r>
      <w:r>
        <w:rPr>
          <w:rFonts w:ascii="仿宋_GB2312" w:hAnsi="仿宋_GB2312" w:eastAsia="仿宋_GB2312"/>
          <w:color w:val="000000"/>
          <w:kern w:val="0"/>
          <w:sz w:val="32"/>
          <w:szCs w:val="32"/>
        </w:rPr>
        <w:t>填列单位为保障机构正常运转、完成日常工作任务而发生的各项支出。</w:t>
      </w:r>
    </w:p>
    <w:p>
      <w:pPr>
        <w:pStyle w:val="4"/>
        <w:widowControl/>
        <w:bidi w:val="0"/>
        <w:spacing w:beforeLines="0" w:beforeAutospacing="0" w:after="0" w:afterAutospacing="0" w:line="560" w:lineRule="exact"/>
        <w:ind w:firstLine="642" w:firstLineChars="200"/>
        <w:rPr>
          <w:rFonts w:ascii="仿宋_GB2312" w:hAnsi="仿宋_GB2312" w:eastAsia="仿宋_GB2312"/>
          <w:color w:val="000000"/>
          <w:kern w:val="0"/>
          <w:sz w:val="32"/>
          <w:szCs w:val="32"/>
        </w:rPr>
      </w:pPr>
      <w:r>
        <w:rPr>
          <w:rFonts w:ascii="仿宋_GB2312" w:hAnsi="仿宋_GB2312" w:eastAsia="仿宋_GB2312"/>
          <w:b/>
          <w:bCs/>
          <w:color w:val="000000"/>
          <w:kern w:val="0"/>
          <w:sz w:val="32"/>
          <w:szCs w:val="32"/>
        </w:rPr>
        <w:t>（九）项目支出：</w:t>
      </w:r>
      <w:r>
        <w:rPr>
          <w:rFonts w:ascii="仿宋_GB2312" w:hAnsi="仿宋_GB2312" w:eastAsia="仿宋_GB2312"/>
          <w:color w:val="000000"/>
          <w:kern w:val="0"/>
          <w:sz w:val="32"/>
          <w:szCs w:val="32"/>
        </w:rPr>
        <w:t>填列单位为完成特定的行政工作任务或事业发展目标，在基本支出之外发生的各项支出</w:t>
      </w:r>
    </w:p>
    <w:p>
      <w:pPr>
        <w:pStyle w:val="4"/>
        <w:widowControl/>
        <w:bidi w:val="0"/>
        <w:spacing w:beforeLines="0" w:beforeAutospacing="0" w:after="0" w:afterAutospacing="0" w:line="560" w:lineRule="exact"/>
        <w:ind w:firstLine="642" w:firstLineChars="200"/>
        <w:rPr>
          <w:rFonts w:ascii="仿宋_GB2312" w:hAnsi="仿宋_GB2312" w:eastAsia="仿宋_GB2312"/>
          <w:color w:val="000000"/>
          <w:kern w:val="0"/>
          <w:sz w:val="32"/>
          <w:szCs w:val="32"/>
        </w:rPr>
      </w:pPr>
      <w:r>
        <w:rPr>
          <w:rFonts w:ascii="仿宋_GB2312" w:hAnsi="仿宋_GB2312" w:eastAsia="仿宋_GB2312"/>
          <w:b/>
          <w:bCs/>
          <w:color w:val="000000"/>
          <w:kern w:val="0"/>
          <w:sz w:val="32"/>
          <w:szCs w:val="32"/>
        </w:rPr>
        <w:t>（十）基本建设支出：</w:t>
      </w:r>
      <w:r>
        <w:rPr>
          <w:rFonts w:ascii="仿宋_GB2312" w:hAnsi="仿宋_GB2312"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pStyle w:val="4"/>
        <w:widowControl/>
        <w:bidi w:val="0"/>
        <w:spacing w:beforeLines="0" w:beforeAutospacing="0" w:after="0" w:afterAutospacing="0" w:line="560" w:lineRule="exact"/>
        <w:ind w:firstLine="642" w:firstLineChars="200"/>
        <w:rPr>
          <w:rFonts w:ascii="仿宋_GB2312" w:hAnsi="仿宋_GB2312" w:eastAsia="仿宋_GB2312"/>
          <w:color w:val="000000"/>
          <w:kern w:val="0"/>
          <w:sz w:val="32"/>
          <w:szCs w:val="32"/>
        </w:rPr>
      </w:pPr>
      <w:r>
        <w:rPr>
          <w:rFonts w:ascii="仿宋_GB2312" w:hAnsi="仿宋_GB2312" w:eastAsia="仿宋_GB2312"/>
          <w:b/>
          <w:bCs/>
          <w:color w:val="000000"/>
          <w:kern w:val="0"/>
          <w:sz w:val="32"/>
          <w:szCs w:val="32"/>
        </w:rPr>
        <w:t>（十一）其他资本性支出：</w:t>
      </w:r>
      <w:r>
        <w:rPr>
          <w:rFonts w:ascii="仿宋_GB2312" w:hAnsi="仿宋_GB2312"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pStyle w:val="4"/>
        <w:widowControl/>
        <w:bidi w:val="0"/>
        <w:spacing w:beforeLines="0" w:beforeAutospacing="0" w:after="0" w:afterAutospacing="0" w:line="560" w:lineRule="exact"/>
        <w:ind w:firstLine="642" w:firstLineChars="200"/>
        <w:rPr>
          <w:rFonts w:ascii="仿宋_GB2312" w:hAnsi="仿宋_GB2312" w:eastAsia="仿宋_GB2312"/>
          <w:color w:val="000000"/>
          <w:kern w:val="0"/>
          <w:sz w:val="32"/>
          <w:szCs w:val="32"/>
        </w:rPr>
      </w:pPr>
      <w:r>
        <w:rPr>
          <w:rFonts w:ascii="仿宋_GB2312" w:hAnsi="仿宋_GB2312" w:eastAsia="仿宋_GB2312"/>
          <w:b/>
          <w:bCs/>
          <w:color w:val="000000"/>
          <w:kern w:val="0"/>
          <w:sz w:val="32"/>
          <w:szCs w:val="32"/>
        </w:rPr>
        <w:t>（十二）“三公”经费：</w:t>
      </w:r>
      <w:r>
        <w:rPr>
          <w:rFonts w:ascii="仿宋_GB2312" w:hAnsi="仿宋_GB2312"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mc:AlternateContent>
          <mc:Choice Requires="wpg">
            <w:drawing>
              <wp:anchor distT="0" distB="0" distL="114300" distR="114300" simplePos="0" relativeHeight="1024" behindDoc="1" locked="0" layoutInCell="0" allowOverlap="1">
                <wp:simplePos x="0" y="0"/>
                <wp:positionH relativeFrom="column">
                  <wp:posOffset>-1027430</wp:posOffset>
                </wp:positionH>
                <wp:positionV relativeFrom="page">
                  <wp:posOffset>503555</wp:posOffset>
                </wp:positionV>
                <wp:extent cx="3364230" cy="558800"/>
                <wp:effectExtent l="0" t="0" r="0" b="0"/>
                <wp:wrapNone/>
                <wp:docPr id="69" name="组合 1090"/>
                <wp:cNvGraphicFramePr/>
                <a:graphic xmlns:a="http://schemas.openxmlformats.org/drawingml/2006/main">
                  <a:graphicData uri="http://schemas.microsoft.com/office/word/2010/wordprocessingGroup">
                    <wpg:wgp>
                      <wpg:cNvGrpSpPr/>
                      <wpg:grpSpPr>
                        <a:xfrm>
                          <a:off x="0" y="0"/>
                          <a:ext cx="3363480" cy="558000"/>
                          <a:chOff x="0" y="0"/>
                          <a:chExt cx="3363480" cy="558000"/>
                        </a:xfrm>
                      </wpg:grpSpPr>
                      <wps:wsp>
                        <wps:cNvPr id="70" name="矩形 70"/>
                        <wps:cNvSpPr/>
                        <wps:spPr>
                          <a:xfrm>
                            <a:off x="0" y="0"/>
                            <a:ext cx="3363480" cy="469440"/>
                          </a:xfrm>
                          <a:prstGeom prst="rect">
                            <a:avLst/>
                          </a:prstGeom>
                          <a:solidFill>
                            <a:srgbClr val="D8D8D8"/>
                          </a:solidFill>
                          <a:ln w="0">
                            <a:noFill/>
                          </a:ln>
                        </wps:spPr>
                        <wps:bodyPr/>
                      </wps:wsp>
                      <wps:wsp>
                        <wps:cNvPr id="71" name="文本框 71"/>
                        <wps:cNvSpPr txBox="true"/>
                        <wps:spPr>
                          <a:xfrm>
                            <a:off x="10800" y="109800"/>
                            <a:ext cx="3276000" cy="448200"/>
                          </a:xfrm>
                          <a:prstGeom prst="rect">
                            <a:avLst/>
                          </a:prstGeom>
                          <a:solidFill>
                            <a:srgbClr val="AD002D"/>
                          </a:solidFill>
                          <a:ln w="25560">
                            <a:solidFill>
                              <a:srgbClr val="AF7621"/>
                            </a:solidFill>
                            <a:round/>
                          </a:ln>
                        </wps:spPr>
                        <wps:txb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2018年度部门决算☞名词解释</w:t>
                              </w:r>
                            </w:p>
                            <w:p>
                              <w:pPr>
                                <w:overflowPunct w:val="0"/>
                                <w:bidi w:val="0"/>
                                <w:spacing w:beforeLines="0" w:beforeAutospacing="0" w:afterLines="0" w:afterAutospacing="0" w:line="240" w:lineRule="auto"/>
                                <w:jc w:val="center"/>
                              </w:pPr>
                            </w:p>
                          </w:txbxContent>
                        </wps:txbx>
                        <wps:bodyPr wrap="square">
                          <a:noAutofit/>
                        </wps:bodyPr>
                      </wps:wsp>
                    </wpg:wgp>
                  </a:graphicData>
                </a:graphic>
              </wp:anchor>
            </w:drawing>
          </mc:Choice>
          <mc:Fallback>
            <w:pict>
              <v:group id="组合 1090" o:spid="_x0000_s1026" o:spt="203" style="position:absolute;left:0pt;margin-left:-80.9pt;margin-top:39.65pt;height:44pt;width:264.9pt;mso-position-vertical-relative:page;z-index:-503315456;mso-width-relative:page;mso-height-relative:page;" coordsize="3363480,558000" o:allowincell="f" o:gfxdata="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WAAAAZHJzL1BLAQIUABQAAAAI&#10;AIdO4kDSGzIq2gAAAAsBAAAPAAAAAAAAAAEAIAAAADgAAABkcnMvZG93bnJldi54bWxQSwECFAAU&#10;AAAACACHTuJAaIG09oQCAABABgAADgAAAAAAAAABACAAAAA/AQAAZHJzL2Uyb0RvYy54bWxQSwUG&#10;AAAAAAYABgBZAQAANQYAAAAA&#10;">
                <o:lock v:ext="edit" aspectratio="f"/>
                <v:rect id="_x0000_s1026" o:spid="_x0000_s1026" o:spt="1" style="position:absolute;left:0;top:0;height:469440;width:3363480;" fillcolor="#D8D8D8" filled="t" stroked="f" coordsize="21600,21600" o:gfxdata="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NRGO+LoAAADbAAAADwAAAAAAAAABACAAAAA4AAAAZHJzL2Rvd25yZXYueG1s&#10;UEsBAhQAFAAAAAgAh07iQDMvBZ47AAAAOQAAABAAAAAAAAAAAQAgAAAAHwEAAGRycy9zaGFwZXht&#10;bC54bWxQSwUGAAAAAAYABgBbAQAAyQMAAAAA&#10;">
                  <v:fill on="t" focussize="0,0"/>
                  <v:stroke on="f" weight="0pt"/>
                  <v:imagedata o:title=""/>
                  <o:lock v:ext="edit" aspectratio="f"/>
                </v:rect>
                <v:shape id="_x0000_s1026" o:spid="_x0000_s1026" o:spt="202" type="#_x0000_t202" style="position:absolute;left:10800;top:109800;height:448200;width:3276000;" fillcolor="#AD002D" filled="t" stroked="t" coordsize="21600,21600" o:gfxdata="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RJ1aHvwAAANsAAAAPAAAAAAAAAAEAIAAAADgAAABkcnMvZG93bnJl&#10;di54bWxQSwECFAAUAAAACACHTuJAMy8FnjsAAAA5AAAAEAAAAAAAAAABACAAAAAkAQAAZHJzL3No&#10;YXBleG1sLnhtbFBLBQYAAAAABgAGAFsBAADOAwAAAAA=&#10;">
                  <v:fill on="t" focussize="0,0"/>
                  <v:stroke weight="2.01259842519685pt" color="#AF7621" joinstyle="round"/>
                  <v:imagedata o:title=""/>
                  <o:lock v:ext="edit" aspectratio="f"/>
                  <v:textbo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2018年度部门决算☞名词解释</w:t>
                        </w:r>
                      </w:p>
                      <w:p>
                        <w:pPr>
                          <w:overflowPunct w:val="0"/>
                          <w:bidi w:val="0"/>
                          <w:spacing w:beforeLines="0" w:beforeAutospacing="0" w:afterLines="0" w:afterAutospacing="0" w:line="240" w:lineRule="auto"/>
                          <w:jc w:val="center"/>
                        </w:pPr>
                      </w:p>
                    </w:txbxContent>
                  </v:textbox>
                </v:shape>
              </v:group>
            </w:pict>
          </mc:Fallback>
        </mc:AlternateContent>
      </w:r>
      <w:r>
        <w:rPr>
          <w:rFonts w:ascii="仿宋_GB2312" w:hAnsi="仿宋_GB2312" w:eastAsia="仿宋_GB2312"/>
          <w:color w:val="000000"/>
          <w:kern w:val="0"/>
          <w:sz w:val="32"/>
          <w:szCs w:val="32"/>
        </w:rPr>
        <w:t>待费反映单位按规定开支的各类公务接待（含外宾接待）支出。</w:t>
      </w:r>
    </w:p>
    <w:p>
      <w:pPr>
        <w:pStyle w:val="4"/>
        <w:widowControl/>
        <w:bidi w:val="0"/>
        <w:spacing w:beforeLines="0" w:beforeAutospacing="0" w:after="0" w:afterAutospacing="0" w:line="560" w:lineRule="exact"/>
        <w:ind w:firstLine="642" w:firstLineChars="200"/>
        <w:rPr>
          <w:rFonts w:ascii="仿宋_GB2312" w:hAnsi="仿宋_GB2312" w:eastAsia="仿宋_GB2312"/>
          <w:color w:val="000000"/>
          <w:kern w:val="0"/>
          <w:sz w:val="32"/>
          <w:szCs w:val="32"/>
        </w:rPr>
      </w:pPr>
      <w:r>
        <w:rPr>
          <w:rFonts w:ascii="仿宋_GB2312" w:hAnsi="仿宋_GB2312" w:eastAsia="仿宋_GB2312"/>
          <w:b/>
          <w:bCs/>
          <w:color w:val="000000"/>
          <w:kern w:val="0"/>
          <w:sz w:val="32"/>
          <w:szCs w:val="32"/>
        </w:rPr>
        <w:t>（十三）其</w:t>
      </w:r>
      <w:r>
        <mc:AlternateContent>
          <mc:Choice Requires="wpg">
            <w:drawing>
              <wp:anchor distT="0" distB="0" distL="114300" distR="114300" simplePos="0" relativeHeight="1024" behindDoc="1" locked="0" layoutInCell="0" allowOverlap="1">
                <wp:simplePos x="0" y="0"/>
                <wp:positionH relativeFrom="column">
                  <wp:posOffset>-1027430</wp:posOffset>
                </wp:positionH>
                <wp:positionV relativeFrom="page">
                  <wp:posOffset>503555</wp:posOffset>
                </wp:positionV>
                <wp:extent cx="3364230" cy="558800"/>
                <wp:effectExtent l="0" t="0" r="0" b="0"/>
                <wp:wrapNone/>
                <wp:docPr id="72" name="组合 1093"/>
                <wp:cNvGraphicFramePr/>
                <a:graphic xmlns:a="http://schemas.openxmlformats.org/drawingml/2006/main">
                  <a:graphicData uri="http://schemas.microsoft.com/office/word/2010/wordprocessingGroup">
                    <wpg:wgp>
                      <wpg:cNvGrpSpPr/>
                      <wpg:grpSpPr>
                        <a:xfrm>
                          <a:off x="0" y="0"/>
                          <a:ext cx="3363480" cy="558000"/>
                          <a:chOff x="0" y="0"/>
                          <a:chExt cx="3363480" cy="558000"/>
                        </a:xfrm>
                      </wpg:grpSpPr>
                      <wps:wsp>
                        <wps:cNvPr id="73" name="矩形 73"/>
                        <wps:cNvSpPr/>
                        <wps:spPr>
                          <a:xfrm>
                            <a:off x="0" y="0"/>
                            <a:ext cx="3363480" cy="469440"/>
                          </a:xfrm>
                          <a:prstGeom prst="rect">
                            <a:avLst/>
                          </a:prstGeom>
                          <a:solidFill>
                            <a:srgbClr val="D8D8D8"/>
                          </a:solidFill>
                          <a:ln w="0">
                            <a:noFill/>
                          </a:ln>
                        </wps:spPr>
                        <wps:bodyPr/>
                      </wps:wsp>
                      <wps:wsp>
                        <wps:cNvPr id="74" name="文本框 74"/>
                        <wps:cNvSpPr txBox="true"/>
                        <wps:spPr>
                          <a:xfrm>
                            <a:off x="10800" y="109800"/>
                            <a:ext cx="3276000" cy="448200"/>
                          </a:xfrm>
                          <a:prstGeom prst="rect">
                            <a:avLst/>
                          </a:prstGeom>
                          <a:solidFill>
                            <a:srgbClr val="AD002D"/>
                          </a:solidFill>
                          <a:ln w="25560">
                            <a:solidFill>
                              <a:srgbClr val="AF7621"/>
                            </a:solidFill>
                            <a:round/>
                          </a:ln>
                        </wps:spPr>
                        <wps:txb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2018年度部门决算☞名词解释</w:t>
                              </w:r>
                            </w:p>
                            <w:p>
                              <w:pPr>
                                <w:overflowPunct w:val="0"/>
                                <w:bidi w:val="0"/>
                                <w:spacing w:beforeLines="0" w:beforeAutospacing="0" w:afterLines="0" w:afterAutospacing="0" w:line="240" w:lineRule="auto"/>
                                <w:jc w:val="center"/>
                              </w:pPr>
                            </w:p>
                          </w:txbxContent>
                        </wps:txbx>
                        <wps:bodyPr wrap="square">
                          <a:noAutofit/>
                        </wps:bodyPr>
                      </wps:wsp>
                    </wpg:wgp>
                  </a:graphicData>
                </a:graphic>
              </wp:anchor>
            </w:drawing>
          </mc:Choice>
          <mc:Fallback>
            <w:pict>
              <v:group id="组合 1093" o:spid="_x0000_s1026" o:spt="203" style="position:absolute;left:0pt;margin-left:-80.9pt;margin-top:39.65pt;height:44pt;width:264.9pt;mso-position-vertical-relative:page;z-index:-503315456;mso-width-relative:page;mso-height-relative:page;" coordsize="3363480,558000" o:allowincell="f" o:gfxdata="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0hsyKtoAAAALAQAADwAAAAAAAAABACAAAAA4AAAAZHJzL2Rvd25yZXYueG1sUEsBAhQAFAAA&#10;AAgAh07iQDmwyGeCAgAAQAYAAA4AAAAAAAAAAQAgAAAAPwEAAGRycy9lMm9Eb2MueG1sUEsFBgAA&#10;AAAGAAYAWQEAADMGAAAAAA==&#10;">
                <o:lock v:ext="edit" aspectratio="f"/>
                <v:rect id="_x0000_s1026" o:spid="_x0000_s1026" o:spt="1" style="position:absolute;left:0;top:0;height:469440;width:3363480;" fillcolor="#D8D8D8" filled="t" stroked="f" coordsize="21600,21600" o:gfxdata="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XDEI++AAAA2wAAAA8AAAAAAAAAAQAgAAAAOAAAAGRycy9kb3ducmV2&#10;LnhtbFBLAQIUABQAAAAIAIdO4kAzLwWeOwAAADkAAAAQAAAAAAAAAAEAIAAAACMBAABkcnMvc2hh&#10;cGV4bWwueG1sUEsFBgAAAAAGAAYAWwEAAM0DAAAAAA==&#10;">
                  <v:fill on="t" focussize="0,0"/>
                  <v:stroke on="f" weight="0pt"/>
                  <v:imagedata o:title=""/>
                  <o:lock v:ext="edit" aspectratio="f"/>
                </v:rect>
                <v:shape id="_x0000_s1026" o:spid="_x0000_s1026" o:spt="202" type="#_x0000_t202" style="position:absolute;left:10800;top:109800;height:448200;width:3276000;" fillcolor="#AD002D" filled="t" stroked="t" coordsize="21600,21600" o:gfxdata="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FQ9R++AAAA2wAAAA8AAAAAAAAAAQAgAAAAOAAAAGRycy9kb3ducmV2&#10;LnhtbFBLAQIUABQAAAAIAIdO4kAzLwWeOwAAADkAAAAQAAAAAAAAAAEAIAAAACMBAABkcnMvc2hh&#10;cGV4bWwueG1sUEsFBgAAAAAGAAYAWwEAAM0DAAAAAA==&#10;">
                  <v:fill on="t" focussize="0,0"/>
                  <v:stroke weight="2.01259842519685pt" color="#AF7621" joinstyle="round"/>
                  <v:imagedata o:title=""/>
                  <o:lock v:ext="edit" aspectratio="f"/>
                  <v:textbox>
                    <w:txbxContent>
                      <w:p>
                        <w:pPr>
                          <w:overflowPunct w:val="0"/>
                          <w:bidi w:val="0"/>
                          <w:spacing w:beforeLines="0" w:beforeAutospacing="0" w:afterLines="0" w:afterAutospacing="0" w:line="240" w:lineRule="auto"/>
                          <w:jc w:val="left"/>
                        </w:pPr>
                        <w:r>
                          <w:rPr>
                            <w:rFonts w:ascii="楷体" w:hAnsi="楷体" w:eastAsia="楷体" w:cs="楷体"/>
                            <w:b/>
                            <w:color w:val="FDEFBE"/>
                            <w:kern w:val="0"/>
                            <w:sz w:val="32"/>
                            <w:szCs w:val="20"/>
                          </w:rPr>
                          <w:t>2018年度部门决算☞名词解释</w:t>
                        </w:r>
                      </w:p>
                      <w:p>
                        <w:pPr>
                          <w:overflowPunct w:val="0"/>
                          <w:bidi w:val="0"/>
                          <w:spacing w:beforeLines="0" w:beforeAutospacing="0" w:afterLines="0" w:afterAutospacing="0" w:line="240" w:lineRule="auto"/>
                          <w:jc w:val="center"/>
                        </w:pPr>
                      </w:p>
                    </w:txbxContent>
                  </v:textbox>
                </v:shape>
              </v:group>
            </w:pict>
          </mc:Fallback>
        </mc:AlternateContent>
      </w:r>
      <w:r>
        <w:rPr>
          <w:rFonts w:ascii="仿宋_GB2312" w:hAnsi="仿宋_GB2312" w:eastAsia="仿宋_GB2312"/>
          <w:b/>
          <w:bCs/>
          <w:color w:val="000000"/>
          <w:kern w:val="0"/>
          <w:sz w:val="32"/>
          <w:szCs w:val="32"/>
        </w:rPr>
        <w:t>他交通费用：</w:t>
      </w:r>
      <w:r>
        <w:rPr>
          <w:rFonts w:ascii="仿宋_GB2312" w:hAnsi="仿宋_GB2312" w:eastAsia="仿宋_GB2312"/>
          <w:color w:val="000000"/>
          <w:kern w:val="0"/>
          <w:sz w:val="32"/>
          <w:szCs w:val="32"/>
        </w:rPr>
        <w:t>填列单位除公务用车运行维护费以外的其他交通费用。如飞机、船舶等的燃料费、维修费、过桥过路费、保险费、出租车费用、公务交通补贴等。</w:t>
      </w:r>
    </w:p>
    <w:p>
      <w:pPr>
        <w:pStyle w:val="4"/>
        <w:widowControl/>
        <w:bidi w:val="0"/>
        <w:spacing w:beforeLines="0" w:beforeAutospacing="0" w:after="0" w:afterAutospacing="0" w:line="560" w:lineRule="exact"/>
        <w:ind w:firstLine="642" w:firstLineChars="200"/>
        <w:rPr>
          <w:rFonts w:ascii="仿宋_GB2312" w:hAnsi="仿宋_GB2312" w:eastAsia="仿宋_GB2312"/>
          <w:color w:val="000000"/>
          <w:kern w:val="0"/>
          <w:sz w:val="32"/>
          <w:szCs w:val="32"/>
        </w:rPr>
      </w:pPr>
      <w:r>
        <w:rPr>
          <w:rFonts w:ascii="仿宋_GB2312" w:hAnsi="仿宋_GB2312" w:eastAsia="仿宋_GB2312"/>
          <w:b/>
          <w:bCs/>
          <w:color w:val="000000"/>
          <w:kern w:val="0"/>
          <w:sz w:val="32"/>
          <w:szCs w:val="32"/>
        </w:rPr>
        <w:t>（十四）公务用车购置：</w:t>
      </w:r>
      <w:r>
        <w:rPr>
          <w:rFonts w:ascii="仿宋_GB2312" w:hAnsi="仿宋_GB2312" w:eastAsia="仿宋_GB2312"/>
          <w:color w:val="000000"/>
          <w:kern w:val="0"/>
          <w:sz w:val="32"/>
          <w:szCs w:val="32"/>
        </w:rPr>
        <w:t>填列单位公务用车车辆购置支出（含车辆购置税）。</w:t>
      </w:r>
    </w:p>
    <w:p>
      <w:pPr>
        <w:pStyle w:val="4"/>
        <w:widowControl/>
        <w:bidi w:val="0"/>
        <w:spacing w:beforeLines="0" w:beforeAutospacing="0" w:after="0" w:afterAutospacing="0" w:line="560" w:lineRule="exact"/>
        <w:ind w:firstLine="642" w:firstLineChars="200"/>
        <w:rPr>
          <w:rFonts w:ascii="仿宋_GB2312" w:hAnsi="仿宋_GB2312" w:eastAsia="仿宋_GB2312"/>
          <w:color w:val="000000"/>
          <w:kern w:val="0"/>
          <w:sz w:val="32"/>
          <w:szCs w:val="32"/>
        </w:rPr>
      </w:pPr>
      <w:r>
        <w:rPr>
          <w:rFonts w:ascii="仿宋_GB2312" w:hAnsi="仿宋_GB2312" w:eastAsia="仿宋_GB2312"/>
          <w:b/>
          <w:bCs/>
          <w:color w:val="000000"/>
          <w:kern w:val="0"/>
          <w:sz w:val="32"/>
          <w:szCs w:val="32"/>
        </w:rPr>
        <w:t>（十五）其他交通工具购置：</w:t>
      </w:r>
      <w:r>
        <w:rPr>
          <w:rFonts w:ascii="仿宋_GB2312" w:hAnsi="仿宋_GB2312" w:eastAsia="仿宋_GB2312"/>
          <w:color w:val="000000"/>
          <w:kern w:val="0"/>
          <w:sz w:val="32"/>
          <w:szCs w:val="32"/>
        </w:rPr>
        <w:t>填列单位除公务用车外的其他各类交通工具（如船舶、飞机）购置支出（含车辆购置税）。</w:t>
      </w:r>
    </w:p>
    <w:p>
      <w:pPr>
        <w:pStyle w:val="4"/>
        <w:widowControl/>
        <w:bidi w:val="0"/>
        <w:spacing w:beforeLines="0" w:beforeAutospacing="0" w:after="0" w:afterAutospacing="0" w:line="560" w:lineRule="exact"/>
        <w:ind w:firstLine="642" w:firstLineChars="200"/>
        <w:rPr>
          <w:rFonts w:ascii="仿宋_GB2312" w:hAnsi="仿宋_GB2312" w:eastAsia="仿宋_GB2312"/>
          <w:b/>
          <w:bCs/>
          <w:color w:val="000000"/>
          <w:kern w:val="0"/>
          <w:sz w:val="32"/>
          <w:szCs w:val="32"/>
        </w:rPr>
      </w:pPr>
      <w:r>
        <w:rPr>
          <w:rFonts w:ascii="仿宋_GB2312" w:hAnsi="仿宋_GB2312" w:eastAsia="仿宋_GB2312"/>
          <w:b/>
          <w:bCs/>
          <w:color w:val="000000"/>
          <w:kern w:val="0"/>
          <w:sz w:val="32"/>
          <w:szCs w:val="32"/>
        </w:rPr>
        <w:t>（十六）机关运行经费：</w:t>
      </w:r>
      <w:r>
        <w:rPr>
          <w:rFonts w:ascii="仿宋_GB2312" w:hAnsi="仿宋_GB2312" w:eastAsia="仿宋_GB2312"/>
          <w:color w:val="000000"/>
          <w:kern w:val="0"/>
          <w:sz w:val="32"/>
          <w:szCs w:val="32"/>
        </w:rPr>
        <w:t>指为保障行政单位（包括参照公务员法管理的事业单位）运行用于购买货物和服务的各项资金，包</w:t>
      </w:r>
      <w:r>
        <w:rPr>
          <w:rFonts w:ascii="仿宋_GB2312" w:hAnsi="仿宋_GB2312" w:eastAsia="仿宋_GB2312"/>
          <w:b/>
          <w:bCs/>
          <w:color w:val="000000"/>
          <w:kern w:val="0"/>
          <w:sz w:val="32"/>
          <w:szCs w:val="32"/>
        </w:rPr>
        <w:t>括办公及印刷费、邮电费、差旅费、会议费、福利费、日常维修费、专用材料以及一般设备购置费、办公用房水电费、办公用房取暖费、办公用房物业管理费、公务用车运行维护费以及其他费用。</w:t>
      </w:r>
    </w:p>
    <w:p>
      <w:pPr>
        <w:pStyle w:val="4"/>
        <w:widowControl/>
        <w:bidi w:val="0"/>
        <w:spacing w:beforeLines="0" w:beforeAutospacing="0" w:after="0" w:afterAutospacing="0" w:line="560" w:lineRule="exact"/>
        <w:ind w:firstLine="420" w:firstLineChars="200"/>
        <w:rPr>
          <w:rFonts w:ascii="仿宋_GB2312" w:hAnsi="仿宋_GB2312" w:eastAsia="仿宋_GB2312"/>
          <w:b/>
          <w:bCs/>
          <w:color w:val="000000"/>
          <w:kern w:val="0"/>
          <w:sz w:val="32"/>
          <w:szCs w:val="32"/>
        </w:rPr>
      </w:pPr>
      <w:r>
        <w:drawing>
          <wp:anchor distT="0" distB="0" distL="0" distR="0" simplePos="0" relativeHeight="1024" behindDoc="1" locked="0" layoutInCell="0" allowOverlap="1">
            <wp:simplePos x="0" y="0"/>
            <wp:positionH relativeFrom="column">
              <wp:posOffset>-968375</wp:posOffset>
            </wp:positionH>
            <wp:positionV relativeFrom="paragraph">
              <wp:posOffset>1741170</wp:posOffset>
            </wp:positionV>
            <wp:extent cx="7571740" cy="7640955"/>
            <wp:effectExtent l="0" t="0" r="0" b="0"/>
            <wp:wrapNone/>
            <wp:docPr id="75" name="图片 101"/>
            <wp:cNvGraphicFramePr/>
            <a:graphic xmlns:a="http://schemas.openxmlformats.org/drawingml/2006/main">
              <a:graphicData uri="http://schemas.openxmlformats.org/drawingml/2006/picture">
                <pic:pic xmlns:pic="http://schemas.openxmlformats.org/drawingml/2006/picture">
                  <pic:nvPicPr>
                    <pic:cNvPr id="75" name="图片 101"/>
                    <pic:cNvPicPr/>
                  </pic:nvPicPr>
                  <pic:blipFill>
                    <a:blip r:embed="rId7"/>
                    <a:stretch>
                      <a:fillRect/>
                    </a:stretch>
                  </pic:blipFill>
                  <pic:spPr>
                    <a:xfrm>
                      <a:off x="0" y="0"/>
                      <a:ext cx="7571160" cy="7640280"/>
                    </a:xfrm>
                    <a:prstGeom prst="rect">
                      <a:avLst/>
                    </a:prstGeom>
                    <a:ln w="0">
                      <a:noFill/>
                    </a:ln>
                  </pic:spPr>
                </pic:pic>
              </a:graphicData>
            </a:graphic>
          </wp:anchor>
        </w:drawing>
      </w:r>
      <w:r>
        <w:rPr>
          <w:rFonts w:ascii="仿宋_GB2312" w:hAnsi="仿宋_GB2312" w:eastAsia="仿宋_GB2312"/>
          <w:b/>
          <w:bCs/>
          <w:color w:val="000000"/>
          <w:kern w:val="0"/>
          <w:sz w:val="32"/>
          <w:szCs w:val="32"/>
        </w:rPr>
        <w:t>（十七）经费形式:按照经费来源，可分为财政拨款、财政性资金基本保证、财政性资金定额或定项补助、财政性资金零补助四类。</w:t>
      </w:r>
    </w:p>
    <w:sectPr>
      <w:pgSz w:w="11906" w:h="16838"/>
      <w:pgMar w:top="2098" w:right="1474" w:bottom="1985" w:left="1588" w:header="0" w:footer="0" w:gutter="0"/>
      <w:pgNumType w:fmt="decimal"/>
      <w:cols w:space="720" w:num="1"/>
      <w:formProt w:val="0"/>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0000000000000000000"/>
    <w:charset w:val="86"/>
    <w:family w:val="roman"/>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仿宋">
    <w:altName w:val="方正仿宋_GBK"/>
    <w:panose1 w:val="00000000000000000000"/>
    <w:charset w:val="86"/>
    <w:family w:val="roman"/>
    <w:pitch w:val="default"/>
    <w:sig w:usb0="00000000" w:usb1="00000000" w:usb2="00000000" w:usb3="00000000" w:csb0="00000000" w:csb1="00000000"/>
  </w:font>
  <w:font w:name="ArialUnicodeMS">
    <w:altName w:val="DejaVu Sans"/>
    <w:panose1 w:val="00000000000000000000"/>
    <w:charset w:val="00"/>
    <w:family w:val="auto"/>
    <w:pitch w:val="default"/>
    <w:sig w:usb0="00000000" w:usb1="00000000" w:usb2="00000000" w:usb3="00000000" w:csb0="00000000" w:csb1="00000000"/>
  </w:font>
  <w:font w:name="微软雅黑">
    <w:altName w:val="方正黑体_GBK"/>
    <w:panose1 w:val="00000000000000000000"/>
    <w:charset w:val="00"/>
    <w:family w:val="auto"/>
    <w:pitch w:val="default"/>
    <w:sig w:usb0="00000000" w:usb1="00000000" w:usb2="00000000" w:usb3="00000000" w:csb0="00000000" w:csb1="00000000"/>
  </w:font>
  <w:font w:name="MS-UIGothic,Bold">
    <w:altName w:val="URW Bookman"/>
    <w:panose1 w:val="00000000000000000000"/>
    <w:charset w:val="00"/>
    <w:family w:val="auto"/>
    <w:pitch w:val="default"/>
    <w:sig w:usb0="00000000" w:usb1="00000000" w:usb2="00000000" w:usb3="00000000" w:csb0="00000000" w:csb1="00000000"/>
  </w:font>
  <w:font w:name="DengXian-Regular">
    <w:altName w:val="URW Bookman"/>
    <w:panose1 w:val="00000000000000000000"/>
    <w:charset w:val="00"/>
    <w:family w:val="auto"/>
    <w:pitch w:val="default"/>
    <w:sig w:usb0="00000000" w:usb1="00000000" w:usb2="00000000" w:usb3="00000000" w:csb0="00000000" w:csb1="00000000"/>
  </w:font>
  <w:font w:name="楷体_GB2312">
    <w:panose1 w:val="02010609030101010101"/>
    <w:charset w:val="86"/>
    <w:family w:val="roman"/>
    <w:pitch w:val="default"/>
    <w:sig w:usb0="00000001" w:usb1="080E0000" w:usb2="00000000" w:usb3="00000000" w:csb0="00040000" w:csb1="00000000"/>
  </w:font>
  <w:font w:name="DengXian-Bold">
    <w:altName w:val="URW Bookman"/>
    <w:panose1 w:val="00000000000000000000"/>
    <w:charset w:val="00"/>
    <w:family w:val="auto"/>
    <w:pitch w:val="default"/>
    <w:sig w:usb0="00000000" w:usb1="00000000" w:usb2="00000000" w:usb3="00000000" w:csb0="00000000" w:csb1="00000000"/>
  </w:font>
  <w:font w:name="TimesNewRomanPSMT">
    <w:altName w:val="DejaVu San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E42EB"/>
    <w:multiLevelType w:val="multilevel"/>
    <w:tmpl w:val="ADBE42EB"/>
    <w:lvl w:ilvl="0" w:tentative="0">
      <w:start w:val="1"/>
      <w:numFmt w:val="taiwaneseCountingThousand"/>
      <w:lvlText w:val="%1、"/>
      <w:lvlJc w:val="left"/>
      <w:pPr>
        <w:tabs>
          <w:tab w:val="left" w:pos="0"/>
        </w:tabs>
        <w:ind w:left="1997" w:hanging="720"/>
      </w:pPr>
    </w:lvl>
    <w:lvl w:ilvl="1" w:tentative="0">
      <w:start w:val="1"/>
      <w:numFmt w:val="lowerLetter"/>
      <w:lvlText w:val="%2)"/>
      <w:lvlJc w:val="left"/>
      <w:pPr>
        <w:tabs>
          <w:tab w:val="left" w:pos="0"/>
        </w:tabs>
        <w:ind w:left="2114" w:hanging="420"/>
      </w:pPr>
    </w:lvl>
    <w:lvl w:ilvl="2" w:tentative="0">
      <w:start w:val="1"/>
      <w:numFmt w:val="lowerRoman"/>
      <w:lvlText w:val="%3."/>
      <w:lvlJc w:val="right"/>
      <w:pPr>
        <w:tabs>
          <w:tab w:val="left" w:pos="0"/>
        </w:tabs>
        <w:ind w:left="2534" w:hanging="420"/>
      </w:pPr>
    </w:lvl>
    <w:lvl w:ilvl="3" w:tentative="0">
      <w:start w:val="1"/>
      <w:numFmt w:val="decimal"/>
      <w:lvlText w:val="%4."/>
      <w:lvlJc w:val="left"/>
      <w:pPr>
        <w:tabs>
          <w:tab w:val="left" w:pos="0"/>
        </w:tabs>
        <w:ind w:left="2954" w:hanging="420"/>
      </w:pPr>
    </w:lvl>
    <w:lvl w:ilvl="4" w:tentative="0">
      <w:start w:val="1"/>
      <w:numFmt w:val="lowerLetter"/>
      <w:lvlText w:val="%5)"/>
      <w:lvlJc w:val="left"/>
      <w:pPr>
        <w:tabs>
          <w:tab w:val="left" w:pos="0"/>
        </w:tabs>
        <w:ind w:left="3374" w:hanging="420"/>
      </w:pPr>
    </w:lvl>
    <w:lvl w:ilvl="5" w:tentative="0">
      <w:start w:val="1"/>
      <w:numFmt w:val="lowerRoman"/>
      <w:lvlText w:val="%6."/>
      <w:lvlJc w:val="right"/>
      <w:pPr>
        <w:tabs>
          <w:tab w:val="left" w:pos="0"/>
        </w:tabs>
        <w:ind w:left="3794" w:hanging="420"/>
      </w:pPr>
    </w:lvl>
    <w:lvl w:ilvl="6" w:tentative="0">
      <w:start w:val="1"/>
      <w:numFmt w:val="decimal"/>
      <w:lvlText w:val="%7."/>
      <w:lvlJc w:val="left"/>
      <w:pPr>
        <w:tabs>
          <w:tab w:val="left" w:pos="0"/>
        </w:tabs>
        <w:ind w:left="4214" w:hanging="420"/>
      </w:pPr>
    </w:lvl>
    <w:lvl w:ilvl="7" w:tentative="0">
      <w:start w:val="1"/>
      <w:numFmt w:val="lowerLetter"/>
      <w:lvlText w:val="%8)"/>
      <w:lvlJc w:val="left"/>
      <w:pPr>
        <w:tabs>
          <w:tab w:val="left" w:pos="0"/>
        </w:tabs>
        <w:ind w:left="4634" w:hanging="420"/>
      </w:pPr>
    </w:lvl>
    <w:lvl w:ilvl="8" w:tentative="0">
      <w:start w:val="1"/>
      <w:numFmt w:val="lowerRoman"/>
      <w:lvlText w:val="%9."/>
      <w:lvlJc w:val="right"/>
      <w:pPr>
        <w:tabs>
          <w:tab w:val="left" w:pos="0"/>
        </w:tabs>
        <w:ind w:left="5054" w:hanging="420"/>
      </w:pPr>
    </w:lvl>
  </w:abstractNum>
  <w:abstractNum w:abstractNumId="1">
    <w:nsid w:val="FEDA6BB7"/>
    <w:multiLevelType w:val="multilevel"/>
    <w:tmpl w:val="FEDA6BB7"/>
    <w:lvl w:ilvl="0" w:tentative="0">
      <w:start w:val="7"/>
      <w:numFmt w:val="decimal"/>
      <w:lvlText w:val="（%1）"/>
      <w:lvlJc w:val="left"/>
      <w:pPr>
        <w:tabs>
          <w:tab w:val="left" w:pos="0"/>
        </w:tabs>
        <w:ind w:left="1720" w:hanging="1080"/>
      </w:p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abstractNum w:abstractNumId="2">
    <w:nsid w:val="4DFC7365"/>
    <w:multiLevelType w:val="multilevel"/>
    <w:tmpl w:val="4DFC7365"/>
    <w:lvl w:ilvl="0" w:tentative="0">
      <w:start w:val="2"/>
      <w:numFmt w:val="taiwa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420"/>
  <w:autoHyphenation/>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FEDE6D"/>
    <w:rsid w:val="5BEEBA5C"/>
    <w:rsid w:val="FF9F8063"/>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qFormat/>
    <w:uiPriority w:val="0"/>
    <w:pPr>
      <w:widowControl w:val="0"/>
      <w:suppressAutoHyphens w:val="0"/>
      <w:bidi w:val="0"/>
      <w:spacing w:beforeLines="0" w:beforeAutospacing="0" w:after="160" w:afterAutospacing="0" w:line="480" w:lineRule="auto"/>
      <w:jc w:val="both"/>
    </w:pPr>
    <w:rPr>
      <w:rFonts w:ascii="Times New Roman" w:hAnsi="Times New Roman" w:eastAsia="宋体" w:cs="Times New Roman"/>
      <w:color w:val="auto"/>
      <w:kern w:val="2"/>
      <w:sz w:val="21"/>
      <w:szCs w:val="24"/>
      <w:lang w:val="en-US" w:eastAsia="zh-CN" w:bidi="ar-SA"/>
    </w:rPr>
  </w:style>
  <w:style w:type="paragraph" w:customStyle="1" w:styleId="5">
    <w:name w:val="标题 11"/>
    <w:basedOn w:val="4"/>
    <w:next w:val="4"/>
    <w:qFormat/>
    <w:uiPriority w:val="0"/>
    <w:pPr>
      <w:keepNext/>
      <w:keepLines/>
      <w:spacing w:before="340" w:beforeAutospacing="0" w:after="330" w:afterAutospacing="0" w:line="578" w:lineRule="auto"/>
      <w:outlineLvl w:val="0"/>
    </w:pPr>
    <w:rPr>
      <w:rFonts w:ascii="Times New Roman" w:hAnsi="Times New Roman" w:eastAsia="宋体" w:cs="Times New Roman"/>
      <w:b/>
      <w:bCs/>
      <w:kern w:val="2"/>
      <w:sz w:val="44"/>
      <w:szCs w:val="44"/>
    </w:rPr>
  </w:style>
  <w:style w:type="paragraph" w:customStyle="1" w:styleId="6">
    <w:name w:val="标题 21"/>
    <w:basedOn w:val="4"/>
    <w:next w:val="4"/>
    <w:qFormat/>
    <w:uiPriority w:val="0"/>
    <w:pPr>
      <w:keepNext/>
      <w:keepLines/>
      <w:spacing w:before="260" w:beforeAutospacing="0" w:after="260" w:afterAutospacing="0" w:line="415" w:lineRule="auto"/>
      <w:outlineLvl w:val="1"/>
    </w:pPr>
    <w:rPr>
      <w:rFonts w:ascii="Calibri" w:hAnsi="Calibri" w:eastAsia="宋体" w:cs="宋体"/>
      <w:b/>
      <w:bCs/>
      <w:sz w:val="32"/>
      <w:szCs w:val="32"/>
    </w:rPr>
  </w:style>
  <w:style w:type="paragraph" w:customStyle="1" w:styleId="7">
    <w:name w:val="标题 31"/>
    <w:basedOn w:val="4"/>
    <w:next w:val="4"/>
    <w:qFormat/>
    <w:uiPriority w:val="0"/>
    <w:pPr>
      <w:keepNext/>
      <w:keepLines/>
      <w:spacing w:before="260" w:beforeAutospacing="0" w:after="260" w:afterAutospacing="0" w:line="415" w:lineRule="auto"/>
      <w:outlineLvl w:val="2"/>
    </w:pPr>
    <w:rPr>
      <w:rFonts w:ascii="Times New Roman" w:hAnsi="Times New Roman" w:eastAsia="宋体" w:cs="Times New Roman"/>
      <w:b/>
      <w:bCs/>
      <w:sz w:val="32"/>
      <w:szCs w:val="32"/>
    </w:rPr>
  </w:style>
  <w:style w:type="paragraph" w:customStyle="1" w:styleId="8">
    <w:name w:val="列表段落"/>
    <w:basedOn w:val="4"/>
    <w:qFormat/>
    <w:uiPriority w:val="0"/>
    <w:pPr>
      <w:ind w:firstLine="0" w:firstLineChars="200"/>
    </w:pPr>
  </w:style>
  <w:style w:type="paragraph" w:customStyle="1" w:styleId="9">
    <w:name w:val="Normal (Web)"/>
    <w:basedOn w:val="4"/>
    <w:qFormat/>
    <w:uiPriority w:val="0"/>
    <w:pPr>
      <w:spacing w:beforeAutospacing="1" w:afterAutospacing="1" w:line="240" w:lineRule="auto"/>
      <w:jc w:val="left"/>
    </w:pPr>
    <w:rPr>
      <w:rFonts w:ascii="Calibri" w:hAnsi="Calibri"/>
      <w:kern w:val="0"/>
      <w:sz w:val="24"/>
      <w:szCs w:val="22"/>
    </w:rPr>
  </w:style>
  <w:style w:type="paragraph" w:customStyle="1" w:styleId="10">
    <w:name w:val="框架内容"/>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57</Pages>
  <Words>18758</Words>
  <Characters>21799</Characters>
  <Paragraphs>1196</Paragraphs>
  <TotalTime>0</TotalTime>
  <ScaleCrop>false</ScaleCrop>
  <LinksUpToDate>false</LinksUpToDate>
  <CharactersWithSpaces>22112</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2018-08-31T00:38:00Z</dcterms:created>
  <dc:creator>User</dc:creator>
  <cp:lastModifiedBy>user</cp:lastModifiedBy>
  <dcterms:modified xsi:type="dcterms:W3CDTF">2024-08-29T10:11:09Z</dcterms:modified>
  <dc:subject>石家庄市xxx部门</dc:subject>
  <dc:title>2017年度部门决算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