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2021年唐山市部门绩效（草案）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唐山市市场监督管理局</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唐山市市场监督管理局编制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"_Toc60139378" </w:instrText>
      </w:r>
      <w:r>
        <w:fldChar w:fldCharType="separate"/>
      </w:r>
      <w:r>
        <w:rPr>
          <w:rStyle w:val="7"/>
          <w:rFonts w:hint="eastAsia" w:ascii="宋体" w:hAnsi="宋体" w:eastAsia="宋体"/>
          <w:b/>
          <w:color w:val="000000"/>
          <w:sz w:val="32"/>
          <w:u w:val="none"/>
        </w:rPr>
        <w:t>部门总体绩效目标及保障措施</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_Toc60139378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"_Toc60139378" </w:instrText>
      </w:r>
      <w:r>
        <w:fldChar w:fldCharType="separate"/>
      </w:r>
      <w:r>
        <w:rPr>
          <w:rStyle w:val="7"/>
          <w:rFonts w:hint="eastAsia" w:ascii="宋体" w:hAnsi="宋体" w:eastAsia="宋体"/>
          <w:b/>
          <w:color w:val="000000"/>
          <w:sz w:val="32"/>
          <w:u w:val="none"/>
          <w:lang w:eastAsia="zh-CN"/>
        </w:rPr>
        <w:t>分项绩效目标</w:t>
      </w:r>
      <w:r>
        <w:rPr>
          <w:rFonts w:ascii="宋体" w:hAnsi="宋体" w:eastAsia="宋体"/>
          <w:b/>
          <w:color w:val="000000"/>
          <w:sz w:val="32"/>
        </w:rPr>
        <w:tab/>
      </w:r>
      <w:r>
        <w:rPr>
          <w:rFonts w:hint="eastAsia" w:ascii="宋体" w:hAnsi="宋体" w:eastAsia="宋体"/>
          <w:b/>
          <w:color w:val="000000"/>
          <w:sz w:val="32"/>
          <w:lang w:val="en-US" w:eastAsia="zh-CN"/>
        </w:rPr>
        <w:t>3</w:t>
      </w:r>
      <w:r>
        <w:rPr>
          <w:rFonts w:ascii="宋体" w:hAnsi="宋体" w:eastAsia="宋体"/>
          <w:b/>
          <w:color w:val="000000"/>
          <w:sz w:val="32"/>
        </w:rPr>
        <w:fldChar w:fldCharType="end"/>
      </w:r>
      <w:bookmarkStart w:id="5" w:name="_GoBack"/>
      <w:bookmarkEnd w:id="5"/>
    </w:p>
    <w:p>
      <w:pPr>
        <w:pStyle w:val="5"/>
        <w:tabs>
          <w:tab w:val="right" w:leader="dot" w:pos="8296"/>
        </w:tabs>
      </w:pPr>
      <w:r>
        <w:fldChar w:fldCharType="begin"/>
      </w:r>
      <w:r>
        <w:instrText xml:space="preserve"> HYPERLINK \l "_Toc60139378" </w:instrText>
      </w:r>
      <w:r>
        <w:fldChar w:fldCharType="separate"/>
      </w:r>
      <w:r>
        <w:rPr>
          <w:rStyle w:val="7"/>
          <w:rFonts w:hint="eastAsia" w:ascii="宋体" w:hAnsi="宋体" w:eastAsia="宋体"/>
          <w:b/>
          <w:color w:val="000000"/>
          <w:sz w:val="32"/>
          <w:u w:val="none"/>
          <w:lang w:eastAsia="zh-CN"/>
        </w:rPr>
        <w:t>目标规划及保障措施</w:t>
      </w:r>
      <w:r>
        <w:rPr>
          <w:rFonts w:ascii="宋体" w:hAnsi="宋体" w:eastAsia="宋体"/>
          <w:b/>
          <w:color w:val="000000"/>
          <w:sz w:val="32"/>
        </w:rPr>
        <w:tab/>
      </w:r>
      <w:r>
        <w:rPr>
          <w:rFonts w:hint="eastAsia" w:ascii="宋体" w:hAnsi="宋体" w:eastAsia="宋体"/>
          <w:b/>
          <w:color w:val="000000"/>
          <w:sz w:val="32"/>
          <w:lang w:val="en-US" w:eastAsia="zh-CN"/>
        </w:rPr>
        <w:t>4</w:t>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"_Toc60139382" </w:instrText>
      </w:r>
      <w:r>
        <w:fldChar w:fldCharType="separate"/>
      </w:r>
      <w:r>
        <w:rPr>
          <w:rStyle w:val="7"/>
          <w:rFonts w:hint="eastAsia" w:ascii="宋体" w:hAnsi="宋体" w:eastAsia="宋体"/>
          <w:b/>
          <w:color w:val="000000"/>
          <w:sz w:val="32"/>
          <w:u w:val="none"/>
        </w:rPr>
        <w:t>预算项目绩效表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_Toc60139382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r>
        <w:rPr>
          <w:rFonts w:hint="eastAsia" w:ascii="宋体" w:hAnsi="宋体" w:eastAsia="宋体"/>
          <w:b/>
          <w:color w:val="000000"/>
          <w:sz w:val="32"/>
          <w:lang w:val="en-US" w:eastAsia="zh-CN"/>
        </w:rPr>
        <w:t>1</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60139378"/>
      <w:r>
        <w:t>部门总体绩效目标及保障措施</w:t>
      </w:r>
      <w:bookmarkEnd w:id="0"/>
    </w:p>
    <w:p>
      <w:pPr>
        <w:numPr>
          <w:ilvl w:val="0"/>
          <w:numId w:val="1"/>
        </w:numPr>
        <w:jc w:val="left"/>
        <w:rPr>
          <w:rFonts w:ascii="宋体" w:hAnsi="宋体" w:eastAsia="宋体"/>
          <w:b/>
          <w:color w:val="000000"/>
          <w:sz w:val="32"/>
        </w:rPr>
      </w:pPr>
      <w:r>
        <w:rPr>
          <w:rFonts w:ascii="宋体" w:hAnsi="宋体" w:eastAsia="宋体"/>
          <w:b/>
          <w:color w:val="000000"/>
          <w:sz w:val="32"/>
        </w:rPr>
        <w:t>部门总体绩效目标</w:t>
      </w:r>
    </w:p>
    <w:p>
      <w:pPr>
        <w:adjustRightInd w:val="0"/>
        <w:snapToGrid w:val="0"/>
        <w:spacing w:line="360" w:lineRule="auto"/>
        <w:ind w:firstLine="411" w:firstLineChars="196"/>
        <w:rPr>
          <w:rFonts w:hint="eastAsia" w:ascii="宋体" w:hAnsi="宋体" w:eastAsia="宋体" w:cs="Times New Roman"/>
          <w:szCs w:val="21"/>
          <w:lang w:eastAsia="zh-CN"/>
        </w:rPr>
      </w:pPr>
      <w:r>
        <w:rPr>
          <w:rFonts w:hint="eastAsia" w:ascii="宋体" w:hAnsi="宋体" w:eastAsia="宋体" w:cs="Times New Roman"/>
          <w:szCs w:val="21"/>
          <w:lang w:eastAsia="zh-CN"/>
        </w:rPr>
        <w:t>唐山市市场监督管理局市局机关下设9个直属事业单位、5个区分局和1个综合执法局，其中综合执法局和5个区分局为财政拨款的行政单位，纤维检验所为财政性资金基本保证经费的参公单位，其余8个事业单位为财政性资金基本保证经费的事业单位。系统核定行政编制361人，实有326人，事业编制295，实有222人，编外人员5人，离休人员11人，退休人员525人。</w:t>
      </w:r>
    </w:p>
    <w:p>
      <w:pPr>
        <w:adjustRightInd w:val="0"/>
        <w:snapToGrid w:val="0"/>
        <w:spacing w:line="360" w:lineRule="auto"/>
        <w:ind w:firstLine="411" w:firstLineChars="196"/>
        <w:rPr>
          <w:rFonts w:hint="eastAsia" w:ascii="宋体" w:hAnsi="宋体" w:eastAsia="宋体" w:cs="Times New Roman"/>
          <w:szCs w:val="21"/>
          <w:lang w:eastAsia="zh-CN"/>
        </w:rPr>
      </w:pPr>
      <w:r>
        <w:rPr>
          <w:rFonts w:hint="eastAsia" w:ascii="宋体" w:hAnsi="宋体" w:eastAsia="宋体" w:cs="Times New Roman"/>
          <w:szCs w:val="21"/>
          <w:lang w:eastAsia="zh-CN"/>
        </w:rPr>
        <w:t>部门总体绩效目标主要包括</w:t>
      </w:r>
      <w:r>
        <w:rPr>
          <w:rFonts w:hint="eastAsia" w:ascii="宋体" w:hAnsi="宋体" w:eastAsia="宋体" w:cs="Times New Roman"/>
          <w:szCs w:val="21"/>
          <w:lang w:val="en-US" w:eastAsia="zh-CN"/>
        </w:rPr>
        <w:t>:</w:t>
      </w:r>
    </w:p>
    <w:p>
      <w:pPr>
        <w:adjustRightInd w:val="0"/>
        <w:snapToGrid w:val="0"/>
        <w:spacing w:line="360" w:lineRule="auto"/>
        <w:ind w:firstLine="411" w:firstLineChars="196"/>
        <w:rPr>
          <w:rFonts w:ascii="Calibri" w:hAnsi="Calibri" w:eastAsia="宋体" w:cs="Times New Roman"/>
        </w:rPr>
      </w:pPr>
      <w:r>
        <w:rPr>
          <w:rFonts w:hint="eastAsia" w:ascii="宋体" w:hAnsi="宋体" w:eastAsia="宋体" w:cs="Times New Roman"/>
          <w:szCs w:val="21"/>
          <w:lang w:eastAsia="zh-CN"/>
        </w:rPr>
        <w:t>（一）</w:t>
      </w:r>
      <w:r>
        <w:rPr>
          <w:rFonts w:hint="eastAsia" w:ascii="宋体" w:hAnsi="宋体" w:eastAsia="宋体" w:cs="Times New Roman"/>
          <w:szCs w:val="21"/>
        </w:rPr>
        <w:t>质量水平目标。十四五期间，我市经济、文化、社会、生态、城乡建设管理、政府服务“六大质量”不断提升。建成“国家农村综合改革标准化试点”1个，建成“国家高端装备制造业标准化试点”1个，建成“国家基本公共服务标准化试点”1个。到2025年，累计建成国家级标准化试点示范项目27个。争创中国质量奖1家；省政府质量奖达到20家，市政府质量奖35家。力争迁安建成国家质量强市示范城市，力争唐山市获批筹建国家质量强市示范城市。</w:t>
      </w:r>
    </w:p>
    <w:p>
      <w:pPr>
        <w:adjustRightInd w:val="0"/>
        <w:snapToGrid w:val="0"/>
        <w:spacing w:line="360" w:lineRule="auto"/>
        <w:ind w:firstLine="411" w:firstLineChars="196"/>
        <w:rPr>
          <w:rFonts w:hint="eastAsia" w:ascii="宋体" w:hAnsi="宋体" w:eastAsia="宋体" w:cs="Times New Roman"/>
          <w:szCs w:val="21"/>
        </w:rPr>
      </w:pPr>
      <w:r>
        <w:rPr>
          <w:rFonts w:hint="eastAsia" w:ascii="宋体" w:hAnsi="宋体" w:eastAsia="宋体" w:cs="Times New Roman"/>
          <w:szCs w:val="21"/>
          <w:lang w:eastAsia="zh-CN"/>
        </w:rPr>
        <w:t>（二）</w:t>
      </w:r>
      <w:r>
        <w:rPr>
          <w:rFonts w:hint="eastAsia" w:ascii="宋体" w:hAnsi="宋体" w:eastAsia="宋体" w:cs="Times New Roman"/>
          <w:szCs w:val="21"/>
        </w:rPr>
        <w:t>质量安全目标。确保不发生区域性、系统性产品质量安全事故。发挥工作职能，加强质量监管，督促企业全面落实产品质量安全主体责任，确保质量安全。加强12365举报处置指挥中心建设，力争完成无纸化办公，实现网络信息三级共享。完善应急反应、处置体系建设，做到早预警、早预判、早处置，切实保障特种设备安全。</w:t>
      </w:r>
    </w:p>
    <w:p>
      <w:pPr>
        <w:adjustRightInd w:val="0"/>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lang w:eastAsia="zh-CN"/>
        </w:rPr>
        <w:t>（三）</w:t>
      </w:r>
      <w:r>
        <w:rPr>
          <w:rFonts w:hint="eastAsia" w:ascii="宋体" w:hAnsi="宋体" w:eastAsia="宋体" w:cs="Times New Roman"/>
          <w:szCs w:val="21"/>
        </w:rPr>
        <w:t>特种设备安全目标。强化工作举措，完善监管基础，严厉查处企业严重违法违规行为，排查特种设备安全隐患。加强事中事后监管，实现特种设备监督检查全覆盖，对监督抽查中发现的问题，严格按要求及时处置。强化安全监管能力建设，推进特种设备技术检查机构设置，加强基层安全监察人员培训。加强特种设备特种设备检定工作，液化石油气充装单位和工业气瓶重装单位全部实现信息化追溯管理。</w:t>
      </w:r>
    </w:p>
    <w:p>
      <w:pPr>
        <w:tabs>
          <w:tab w:val="left" w:pos="5040"/>
        </w:tabs>
        <w:adjustRightInd w:val="0"/>
        <w:snapToGrid w:val="0"/>
        <w:spacing w:line="360" w:lineRule="auto"/>
        <w:ind w:right="-153" w:rightChars="-73" w:firstLine="420" w:firstLineChars="200"/>
        <w:rPr>
          <w:rFonts w:hint="eastAsia" w:ascii="宋体" w:hAnsi="宋体" w:eastAsia="宋体" w:cs="Times New Roman"/>
          <w:szCs w:val="21"/>
        </w:rPr>
      </w:pPr>
      <w:r>
        <w:rPr>
          <w:rFonts w:hint="eastAsia" w:ascii="宋体" w:hAnsi="宋体" w:eastAsia="宋体" w:cs="Times New Roman"/>
          <w:szCs w:val="21"/>
          <w:lang w:eastAsia="zh-CN"/>
        </w:rPr>
        <w:t>（四）</w:t>
      </w:r>
      <w:r>
        <w:rPr>
          <w:rFonts w:hint="eastAsia" w:ascii="宋体" w:hAnsi="宋体" w:eastAsia="宋体" w:cs="Times New Roman"/>
          <w:szCs w:val="21"/>
        </w:rPr>
        <w:t>标准化工作目标。大力提升标准化的引领作用。持续深化标准化工作改革，大力推进标准化全领域覆盖，加快构建推动高质量发展的标准体系，充分发挥标准化在现代化建设中的基础性战略性作用。推进农业农村标准化工、高端制造业标准化、服务业和社会事业标准化工作。鼓励、支持企业、行业协会、专业机构等主导或参与国家、行业标准的制修订工作，加快制定地方、团体、企业标准，建设更加先进适用的标准体系，全面提升标准水平。加强国际标准化工作，广泛开展对标达标行动，建立以企业为主体、相关方协同参与国际标准化活动的工作机制，完善激励机制和优惠政策，创造更加公开、透明、开放的标准化工作环境，提升企业国际标准化能力。</w:t>
      </w:r>
    </w:p>
    <w:p>
      <w:pPr>
        <w:tabs>
          <w:tab w:val="left" w:pos="5040"/>
        </w:tabs>
        <w:adjustRightInd w:val="0"/>
        <w:snapToGrid w:val="0"/>
        <w:spacing w:line="360" w:lineRule="auto"/>
        <w:ind w:right="-153" w:rightChars="-73" w:firstLine="420" w:firstLineChars="200"/>
        <w:rPr>
          <w:rFonts w:ascii="宋体" w:hAnsi="宋体" w:eastAsia="宋体" w:cs="Times New Roman"/>
          <w:szCs w:val="21"/>
        </w:rPr>
      </w:pPr>
      <w:r>
        <w:rPr>
          <w:rFonts w:hint="eastAsia" w:ascii="宋体" w:hAnsi="宋体" w:eastAsia="宋体" w:cs="Times New Roman"/>
          <w:szCs w:val="21"/>
          <w:lang w:eastAsia="zh-CN"/>
        </w:rPr>
        <w:t>（五）</w:t>
      </w:r>
      <w:r>
        <w:rPr>
          <w:rFonts w:hint="eastAsia" w:ascii="宋体" w:hAnsi="宋体" w:eastAsia="宋体" w:cs="Times New Roman"/>
          <w:szCs w:val="21"/>
        </w:rPr>
        <w:t>计量工作目标：充分调动和发挥地方、部门和行业作用，加强计量监管，强化计量器具强制检定管理，严厉打击计量违法行为，规范市场计量秩序，提升计量监管的智能化、科技化水平，建设计量管理信息化系统，提高计量监管的针对性和有效性。优化计量服务水平, 大力扶持计量产业发展。加强计量人才队伍建设，建立完善适应社会发展需求的计量人才培训机制，进一步培养壮大注册计量师队伍，持续提升计量专业技术人员能力水平。</w:t>
      </w:r>
    </w:p>
    <w:p>
      <w:pPr>
        <w:tabs>
          <w:tab w:val="left" w:pos="5040"/>
        </w:tabs>
        <w:adjustRightInd w:val="0"/>
        <w:snapToGrid w:val="0"/>
        <w:spacing w:line="360" w:lineRule="auto"/>
        <w:ind w:right="-153" w:rightChars="-73" w:firstLine="420" w:firstLineChars="200"/>
        <w:rPr>
          <w:rFonts w:ascii="宋体" w:hAnsi="宋体" w:eastAsia="宋体" w:cs="Times New Roman"/>
          <w:szCs w:val="21"/>
        </w:rPr>
      </w:pPr>
      <w:r>
        <w:rPr>
          <w:rFonts w:hint="eastAsia" w:ascii="宋体" w:hAnsi="宋体" w:eastAsia="宋体" w:cs="Times New Roman"/>
          <w:szCs w:val="21"/>
          <w:lang w:eastAsia="zh-CN"/>
        </w:rPr>
        <w:t>（六）</w:t>
      </w:r>
      <w:r>
        <w:rPr>
          <w:rFonts w:hint="eastAsia" w:ascii="宋体" w:hAnsi="宋体" w:eastAsia="宋体" w:cs="Times New Roman"/>
          <w:szCs w:val="21"/>
        </w:rPr>
        <w:t>完成食品生产、流通和餐饮各环节的监督管理工作；监督实施食品服务许可的有关规范；依法组织查处食品安全违法违规行为及食品安全事故。</w:t>
      </w:r>
    </w:p>
    <w:p>
      <w:pPr>
        <w:adjustRightInd w:val="0"/>
        <w:snapToGrid w:val="0"/>
        <w:spacing w:line="360" w:lineRule="auto"/>
        <w:ind w:firstLine="420" w:firstLineChars="200"/>
        <w:outlineLvl w:val="0"/>
        <w:rPr>
          <w:rFonts w:ascii="宋体" w:hAnsi="宋体" w:eastAsia="宋体" w:cs="Times New Roman"/>
          <w:szCs w:val="21"/>
        </w:rPr>
      </w:pPr>
      <w:bookmarkStart w:id="1" w:name="_Toc60139379"/>
      <w:r>
        <w:rPr>
          <w:rFonts w:hint="eastAsia" w:ascii="宋体" w:hAnsi="宋体" w:eastAsia="宋体" w:cs="Times New Roman"/>
          <w:szCs w:val="21"/>
          <w:lang w:eastAsia="zh-CN"/>
        </w:rPr>
        <w:t>（七）</w:t>
      </w:r>
      <w:r>
        <w:rPr>
          <w:rFonts w:hint="eastAsia" w:ascii="宋体" w:hAnsi="宋体" w:eastAsia="宋体" w:cs="Times New Roman"/>
          <w:szCs w:val="21"/>
        </w:rPr>
        <w:t>依法对保健食品、化妆品实施监督管理；监督实施保健食品、化妆品卫生标准和技术规范；依法负责保健食品、国产特殊用途化妆品注册的相关事宜；依法组织查处保健食品、化妆品安全违法违规行为及安全事故。</w:t>
      </w:r>
      <w:bookmarkEnd w:id="1"/>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lang w:eastAsia="zh-CN"/>
        </w:rPr>
        <w:t>（八）</w:t>
      </w:r>
      <w:r>
        <w:rPr>
          <w:rFonts w:hint="eastAsia" w:ascii="宋体" w:hAnsi="宋体" w:eastAsia="宋体" w:cs="Times New Roman"/>
          <w:szCs w:val="21"/>
        </w:rPr>
        <w:t>坚持药械市场专项整治与日常监管相结合，保持对制、售和使用假药械行为打击的高压态势。</w:t>
      </w: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（九）</w:t>
      </w:r>
      <w:r>
        <w:rPr>
          <w:rFonts w:hint="eastAsia" w:ascii="宋体" w:hAnsi="宋体" w:eastAsia="宋体" w:cs="Times New Roman"/>
          <w:szCs w:val="21"/>
        </w:rPr>
        <w:t>做好药品生产企业GMP认证、药品零售企业GSP认证和中药材生产质量管理规范GAP认证，通过认证进一步规范全市药品生产经营企业的行为，提高其生产经营质量。</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lang w:eastAsia="zh-CN"/>
        </w:rPr>
        <w:t>（十）</w:t>
      </w:r>
      <w:r>
        <w:rPr>
          <w:rFonts w:hint="eastAsia" w:ascii="宋体" w:hAnsi="宋体" w:eastAsia="宋体" w:cs="Times New Roman"/>
          <w:szCs w:val="21"/>
        </w:rPr>
        <w:t>进一步落实好农村“两网”建设，特别是药品监管网络的健全和完善，确保农村群众用药的方便安全有效。</w:t>
      </w:r>
    </w:p>
    <w:p>
      <w:pPr>
        <w:adjustRightInd w:val="0"/>
        <w:snapToGrid w:val="0"/>
        <w:spacing w:line="360" w:lineRule="auto"/>
        <w:ind w:firstLine="420" w:firstLineChars="200"/>
        <w:outlineLvl w:val="0"/>
        <w:rPr>
          <w:rFonts w:ascii="宋体" w:hAnsi="宋体" w:eastAsia="宋体" w:cs="Times New Roman"/>
          <w:szCs w:val="21"/>
        </w:rPr>
      </w:pPr>
      <w:bookmarkStart w:id="2" w:name="_Toc60139380"/>
      <w:r>
        <w:rPr>
          <w:rFonts w:hint="eastAsia" w:ascii="宋体" w:hAnsi="宋体" w:eastAsia="宋体" w:cs="Times New Roman"/>
          <w:szCs w:val="21"/>
          <w:lang w:eastAsia="zh-CN"/>
        </w:rPr>
        <w:t>（十一）</w:t>
      </w:r>
      <w:r>
        <w:rPr>
          <w:rFonts w:hint="eastAsia" w:ascii="宋体" w:hAnsi="宋体" w:eastAsia="宋体" w:cs="Times New Roman"/>
          <w:szCs w:val="21"/>
        </w:rPr>
        <w:t>否加强对特殊药品、药械广告、保健食品广告的监管工作，深化药品不良反应监测工作。</w:t>
      </w:r>
      <w:bookmarkEnd w:id="2"/>
    </w:p>
    <w:p>
      <w:pPr>
        <w:adjustRightInd w:val="0"/>
        <w:snapToGrid w:val="0"/>
        <w:spacing w:line="360" w:lineRule="auto"/>
        <w:ind w:firstLine="420" w:firstLineChars="200"/>
        <w:outlineLvl w:val="0"/>
        <w:rPr>
          <w:rFonts w:ascii="宋体" w:hAnsi="宋体" w:eastAsia="宋体" w:cs="Times New Roman"/>
          <w:szCs w:val="21"/>
        </w:rPr>
      </w:pPr>
      <w:bookmarkStart w:id="3" w:name="_Toc60139381"/>
      <w:r>
        <w:rPr>
          <w:rFonts w:hint="eastAsia" w:ascii="宋体" w:hAnsi="宋体" w:eastAsia="宋体" w:cs="Times New Roman"/>
          <w:szCs w:val="21"/>
          <w:lang w:eastAsia="zh-CN"/>
        </w:rPr>
        <w:t>（十二）</w:t>
      </w:r>
      <w:r>
        <w:rPr>
          <w:rFonts w:hint="eastAsia" w:ascii="宋体" w:hAnsi="宋体" w:eastAsia="宋体" w:cs="Times New Roman"/>
          <w:szCs w:val="21"/>
        </w:rPr>
        <w:t>加大药品抽验工作力度，确保全年抽验任务的完成。</w:t>
      </w:r>
      <w:bookmarkEnd w:id="3"/>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（十三）</w:t>
      </w:r>
      <w:r>
        <w:rPr>
          <w:rFonts w:ascii="宋体" w:hAnsi="宋体" w:eastAsia="宋体" w:cs="Times New Roman"/>
          <w:szCs w:val="21"/>
        </w:rPr>
        <w:t>保健食品化妆品抽检工作部署，结合我市具体情况，</w:t>
      </w:r>
      <w:r>
        <w:rPr>
          <w:rFonts w:hint="eastAsia" w:ascii="宋体" w:hAnsi="宋体" w:eastAsia="宋体" w:cs="Times New Roman"/>
          <w:szCs w:val="21"/>
        </w:rPr>
        <w:t>能否</w:t>
      </w:r>
      <w:r>
        <w:rPr>
          <w:rFonts w:ascii="宋体" w:hAnsi="宋体" w:eastAsia="宋体" w:cs="Times New Roman"/>
          <w:szCs w:val="21"/>
        </w:rPr>
        <w:t>对辖区内保健食品化妆品生产经营企业开展监督抽检工作。严格按照抽检工作程序，加大对减肥类、降糖类保健食品及特殊用途化妆品的抽检力度。</w:t>
      </w: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（十四）</w:t>
      </w:r>
      <w:r>
        <w:rPr>
          <w:rFonts w:hint="eastAsia" w:ascii="宋体" w:hAnsi="宋体" w:eastAsia="宋体" w:cs="Times New Roman"/>
          <w:szCs w:val="21"/>
        </w:rPr>
        <w:t>做好企业信息公示工作。</w:t>
      </w:r>
      <w:r>
        <w:rPr>
          <w:rFonts w:hint="eastAsia" w:ascii="宋体" w:hAnsi="宋体" w:eastAsia="宋体" w:cs="仿宋"/>
          <w:spacing w:val="-4"/>
          <w:szCs w:val="21"/>
        </w:rPr>
        <w:t>加强年报和即时信息公示宣传工作，加强年报和即时信息公示督导工作，加强年报和即时信息公示服务工作。</w:t>
      </w: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（十五）</w:t>
      </w:r>
      <w:r>
        <w:rPr>
          <w:rFonts w:hint="eastAsia" w:ascii="宋体" w:hAnsi="宋体" w:eastAsia="宋体" w:cs="Times New Roman"/>
          <w:szCs w:val="21"/>
        </w:rPr>
        <w:t>全面推进“双随机、一公开”监管。不断完善“两库一单一细则”，加强培训，积极组织内部联合抽查和跨部门联合抽查。</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lang w:eastAsia="zh-CN"/>
        </w:rPr>
        <w:t>（十六）</w:t>
      </w:r>
      <w:r>
        <w:rPr>
          <w:rFonts w:hint="eastAsia" w:ascii="宋体" w:hAnsi="宋体" w:eastAsia="宋体" w:cs="Times New Roman"/>
          <w:szCs w:val="21"/>
        </w:rPr>
        <w:t>抓好大气污染防治工作。加强煤炭和成品油市场监管，严格抽检，严格执法。做好劣质散煤管控牵头工作。</w:t>
      </w:r>
    </w:p>
    <w:p>
      <w:pPr>
        <w:adjustRightInd w:val="0"/>
        <w:snapToGrid w:val="0"/>
        <w:spacing w:line="360" w:lineRule="auto"/>
        <w:rPr>
          <w:rFonts w:ascii="宋体" w:hAnsi="宋体" w:eastAsia="宋体" w:cs="仿宋"/>
          <w:spacing w:val="-4"/>
          <w:szCs w:val="21"/>
        </w:rPr>
      </w:pPr>
      <w:r>
        <w:rPr>
          <w:rFonts w:hint="eastAsia" w:ascii="宋体" w:hAnsi="宋体" w:eastAsia="宋体" w:cs="Times New Roman"/>
          <w:szCs w:val="21"/>
        </w:rPr>
        <w:t xml:space="preserve">    </w:t>
      </w:r>
      <w:r>
        <w:rPr>
          <w:rFonts w:hint="eastAsia" w:ascii="宋体" w:hAnsi="宋体" w:eastAsia="宋体" w:cs="Times New Roman"/>
          <w:szCs w:val="21"/>
          <w:lang w:eastAsia="zh-CN"/>
        </w:rPr>
        <w:t>（十七）</w:t>
      </w:r>
      <w:r>
        <w:rPr>
          <w:rFonts w:hint="eastAsia" w:ascii="宋体" w:hAnsi="宋体" w:eastAsia="宋体" w:cs="Times New Roman"/>
          <w:szCs w:val="21"/>
        </w:rPr>
        <w:t>加强反垄断反不正当竞争执法。围绕关系民生的重点领域和舆论重点，加大案件查处力度，深入开展整治不正当竞争突出问题专项行动，大力推进反垄断和竞争执法工作。</w:t>
      </w:r>
    </w:p>
    <w:p>
      <w:pPr>
        <w:adjustRightInd w:val="0"/>
        <w:snapToGrid w:val="0"/>
        <w:spacing w:line="360" w:lineRule="auto"/>
        <w:rPr>
          <w:rFonts w:hint="eastAsia" w:ascii="宋体" w:hAnsi="宋体" w:eastAsia="宋体" w:cs="仿宋"/>
          <w:spacing w:val="-4"/>
          <w:szCs w:val="21"/>
        </w:rPr>
      </w:pPr>
      <w:r>
        <w:rPr>
          <w:rFonts w:hint="eastAsia" w:ascii="宋体" w:hAnsi="宋体" w:eastAsia="宋体" w:cs="Times New Roman"/>
          <w:szCs w:val="21"/>
        </w:rPr>
        <w:t xml:space="preserve">    </w:t>
      </w:r>
      <w:r>
        <w:rPr>
          <w:rFonts w:hint="eastAsia" w:ascii="宋体" w:hAnsi="宋体" w:eastAsia="宋体" w:cs="Times New Roman"/>
          <w:szCs w:val="21"/>
          <w:lang w:eastAsia="zh-CN"/>
        </w:rPr>
        <w:t>（十八）</w:t>
      </w:r>
      <w:r>
        <w:rPr>
          <w:rFonts w:hint="eastAsia" w:ascii="宋体" w:hAnsi="宋体" w:eastAsia="宋体" w:cs="Times New Roman"/>
          <w:szCs w:val="21"/>
        </w:rPr>
        <w:t>加强商标行政执法。以驰名商标、地理标志、涉外商标、老字号注册商标为重点，严厉打击侵犯知识产权和制售假冒伪劣商品行为。</w:t>
      </w:r>
    </w:p>
    <w:p>
      <w:pPr>
        <w:adjustRightInd w:val="0"/>
        <w:snapToGrid w:val="0"/>
        <w:spacing w:line="360" w:lineRule="auto"/>
        <w:rPr>
          <w:rFonts w:ascii="宋体" w:hAnsi="宋体" w:eastAsia="宋体" w:cs="仿宋"/>
          <w:spacing w:val="-4"/>
          <w:szCs w:val="21"/>
        </w:rPr>
      </w:pPr>
      <w:r>
        <w:rPr>
          <w:rFonts w:hint="eastAsia" w:ascii="宋体" w:hAnsi="宋体" w:eastAsia="宋体" w:cs="仿宋"/>
          <w:spacing w:val="-4"/>
          <w:szCs w:val="21"/>
        </w:rPr>
        <w:t xml:space="preserve">    </w:t>
      </w:r>
      <w:r>
        <w:rPr>
          <w:rFonts w:hint="eastAsia" w:ascii="宋体" w:hAnsi="宋体" w:eastAsia="宋体" w:cs="Times New Roman"/>
          <w:szCs w:val="21"/>
          <w:lang w:eastAsia="zh-CN"/>
        </w:rPr>
        <w:t>（十九）</w:t>
      </w:r>
      <w:r>
        <w:rPr>
          <w:rFonts w:hint="eastAsia" w:ascii="宋体" w:hAnsi="宋体" w:eastAsia="宋体" w:cs="Times New Roman"/>
          <w:szCs w:val="21"/>
        </w:rPr>
        <w:t>加强广告监管。不断强化监测、严查快办；加大对医疗、药品、食品等涉及广大人民群众利益和反映强烈的重点领域的广告执法力度。</w:t>
      </w:r>
    </w:p>
    <w:p>
      <w:pPr>
        <w:adjustRightInd w:val="0"/>
        <w:snapToGrid w:val="0"/>
        <w:spacing w:line="360" w:lineRule="auto"/>
        <w:rPr>
          <w:rFonts w:ascii="宋体" w:hAnsi="宋体" w:eastAsia="宋体" w:cs="仿宋"/>
          <w:spacing w:val="-4"/>
          <w:szCs w:val="21"/>
        </w:rPr>
      </w:pPr>
      <w:r>
        <w:rPr>
          <w:rFonts w:hint="eastAsia" w:ascii="宋体" w:hAnsi="宋体" w:eastAsia="宋体" w:cs="Times New Roman"/>
          <w:szCs w:val="21"/>
        </w:rPr>
        <w:t xml:space="preserve">    </w:t>
      </w:r>
      <w:r>
        <w:rPr>
          <w:rFonts w:hint="eastAsia" w:ascii="宋体" w:hAnsi="宋体" w:eastAsia="宋体" w:cs="Times New Roman"/>
          <w:szCs w:val="21"/>
          <w:lang w:eastAsia="zh-CN"/>
        </w:rPr>
        <w:t>（二十）</w:t>
      </w:r>
      <w:r>
        <w:rPr>
          <w:rFonts w:hint="eastAsia" w:ascii="宋体" w:hAnsi="宋体" w:eastAsia="宋体" w:cs="Times New Roman"/>
          <w:szCs w:val="21"/>
        </w:rPr>
        <w:t>强化网络市场监管。强化网络市场线上线下一体化监管，完善网络市场信用监管机制，加强协调协作，严厉打击合同欺诈行为和网络侵权假冒行为。</w:t>
      </w:r>
    </w:p>
    <w:p>
      <w:pPr>
        <w:adjustRightInd w:val="0"/>
        <w:snapToGrid w:val="0"/>
        <w:spacing w:line="360" w:lineRule="auto"/>
        <w:rPr>
          <w:rFonts w:ascii="宋体" w:hAnsi="宋体" w:eastAsia="宋体" w:cs="仿宋"/>
          <w:spacing w:val="-4"/>
          <w:szCs w:val="21"/>
        </w:rPr>
      </w:pPr>
      <w:r>
        <w:rPr>
          <w:rFonts w:hint="eastAsia" w:ascii="宋体" w:hAnsi="宋体" w:eastAsia="宋体" w:cs="Times New Roman"/>
          <w:szCs w:val="21"/>
        </w:rPr>
        <w:t xml:space="preserve">    </w:t>
      </w:r>
      <w:r>
        <w:rPr>
          <w:rFonts w:hint="eastAsia" w:ascii="宋体" w:hAnsi="宋体" w:eastAsia="宋体" w:cs="Times New Roman"/>
          <w:szCs w:val="21"/>
          <w:lang w:eastAsia="zh-CN"/>
        </w:rPr>
        <w:t>（二十一）</w:t>
      </w:r>
      <w:r>
        <w:rPr>
          <w:rFonts w:hint="eastAsia" w:ascii="宋体" w:hAnsi="宋体" w:eastAsia="宋体" w:cs="Times New Roman"/>
          <w:szCs w:val="21"/>
        </w:rPr>
        <w:t>加强合同监管。积极搜集合同格式文本，严查“霸王”条款。</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eastAsia="zh-CN"/>
        </w:rPr>
        <w:t>（二十二）</w:t>
      </w:r>
      <w:r>
        <w:rPr>
          <w:rFonts w:hint="eastAsia" w:ascii="宋体" w:hAnsi="宋体" w:eastAsia="宋体" w:cs="Times New Roman"/>
          <w:szCs w:val="21"/>
        </w:rPr>
        <w:t>完善12315体系建设。不断加强12315热线平台建设，全面推进12315“五进”规范化建设。</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eastAsia="zh-CN"/>
        </w:rPr>
        <w:t>（二十三）</w:t>
      </w:r>
      <w:r>
        <w:rPr>
          <w:rFonts w:hint="eastAsia" w:ascii="宋体" w:hAnsi="宋体" w:eastAsia="宋体" w:cs="Times New Roman"/>
          <w:szCs w:val="21"/>
        </w:rPr>
        <w:t>加强流通领域消费维权力度。以家用电器、汽车配件、儿童用品等为重点，不断加强流通领域商品质量监管。</w:t>
      </w:r>
    </w:p>
    <w:p>
      <w:pPr>
        <w:adjustRightInd w:val="0"/>
        <w:snapToGrid w:val="0"/>
        <w:spacing w:line="360" w:lineRule="auto"/>
        <w:ind w:firstLine="420" w:firstLineChars="200"/>
        <w:rPr>
          <w:rFonts w:hint="eastAsia" w:ascii="宋体" w:hAnsi="宋体" w:eastAsia="宋体" w:cs="仿宋"/>
          <w:color w:val="0C0C0C"/>
          <w:spacing w:val="-4"/>
          <w:szCs w:val="21"/>
        </w:rPr>
      </w:pPr>
      <w:r>
        <w:rPr>
          <w:rFonts w:hint="eastAsia" w:ascii="宋体" w:hAnsi="宋体" w:eastAsia="宋体" w:cs="Times New Roman"/>
          <w:szCs w:val="21"/>
          <w:lang w:eastAsia="zh-CN"/>
        </w:rPr>
        <w:t>（二十四）</w:t>
      </w:r>
      <w:r>
        <w:rPr>
          <w:rFonts w:hint="eastAsia" w:ascii="宋体" w:hAnsi="宋体" w:eastAsia="宋体" w:cs="仿宋"/>
          <w:color w:val="0C0C0C"/>
          <w:spacing w:val="-4"/>
          <w:szCs w:val="21"/>
        </w:rPr>
        <w:t>大力实施</w:t>
      </w:r>
      <w:r>
        <w:rPr>
          <w:rFonts w:hint="eastAsia" w:ascii="宋体" w:hAnsi="宋体" w:eastAsia="宋体" w:cs="Times New Roman"/>
          <w:szCs w:val="21"/>
        </w:rPr>
        <w:t>商标战略。不断加强商标宣传培训力度，营造“重商标、创品牌”的浓厚氛围，加大驰名商标和地理标志商标培育扶持力度。</w:t>
      </w:r>
    </w:p>
    <w:p>
      <w:pPr>
        <w:adjustRightInd w:val="0"/>
        <w:snapToGrid w:val="0"/>
        <w:spacing w:line="360" w:lineRule="auto"/>
        <w:ind w:firstLine="420" w:firstLineChars="200"/>
        <w:rPr>
          <w:rFonts w:hint="eastAsia" w:ascii="宋体" w:hAnsi="宋体" w:eastAsia="宋体" w:cs="仿宋"/>
          <w:color w:val="0C0C0C"/>
          <w:spacing w:val="-4"/>
          <w:szCs w:val="21"/>
        </w:rPr>
      </w:pPr>
      <w:r>
        <w:rPr>
          <w:rFonts w:hint="eastAsia" w:ascii="宋体" w:hAnsi="宋体" w:eastAsia="宋体" w:cs="Times New Roman"/>
          <w:szCs w:val="21"/>
          <w:lang w:eastAsia="zh-CN"/>
        </w:rPr>
        <w:t>（二十五）</w:t>
      </w:r>
      <w:r>
        <w:rPr>
          <w:rFonts w:hint="eastAsia" w:ascii="宋体" w:hAnsi="宋体" w:eastAsia="宋体" w:cs="Times New Roman"/>
          <w:szCs w:val="21"/>
        </w:rPr>
        <w:t>加强法治建设。</w:t>
      </w:r>
      <w:r>
        <w:rPr>
          <w:rFonts w:hint="eastAsia" w:ascii="宋体" w:hAnsi="宋体" w:eastAsia="宋体" w:cs="仿宋"/>
          <w:color w:val="0C0C0C"/>
          <w:spacing w:val="-4"/>
          <w:szCs w:val="21"/>
        </w:rPr>
        <w:t>坚持用法治思维和法治方式推动工作，做到“法无授权不可为、法定职责必须为”，不缺位、不越位、不错位。</w:t>
      </w:r>
    </w:p>
    <w:p>
      <w:pPr>
        <w:numPr>
          <w:ilvl w:val="0"/>
          <w:numId w:val="1"/>
        </w:numPr>
        <w:jc w:val="left"/>
        <w:rPr>
          <w:rFonts w:ascii="宋体" w:hAnsi="宋体" w:eastAsia="宋体"/>
          <w:b/>
          <w:color w:val="000000"/>
          <w:sz w:val="32"/>
        </w:rPr>
      </w:pPr>
      <w:r>
        <w:rPr>
          <w:rFonts w:hint="eastAsia" w:ascii="宋体" w:hAnsi="宋体" w:eastAsia="宋体"/>
          <w:b/>
          <w:color w:val="000000"/>
          <w:sz w:val="32"/>
          <w:lang w:eastAsia="zh-CN"/>
        </w:rPr>
        <w:t>分项</w:t>
      </w:r>
      <w:r>
        <w:rPr>
          <w:rFonts w:ascii="宋体" w:hAnsi="宋体" w:eastAsia="宋体"/>
          <w:b/>
          <w:color w:val="000000"/>
          <w:sz w:val="32"/>
        </w:rPr>
        <w:t>绩效目标</w:t>
      </w:r>
    </w:p>
    <w:p>
      <w:pPr>
        <w:numPr>
          <w:ilvl w:val="0"/>
          <w:numId w:val="2"/>
        </w:numPr>
        <w:adjustRightInd w:val="0"/>
        <w:snapToGrid w:val="0"/>
        <w:spacing w:line="360" w:lineRule="auto"/>
        <w:ind w:firstLine="404" w:firstLineChars="200"/>
        <w:rPr>
          <w:rFonts w:hint="eastAsia" w:ascii="宋体" w:hAnsi="宋体" w:eastAsia="宋体" w:cs="仿宋"/>
          <w:color w:val="0C0C0C"/>
          <w:spacing w:val="-4"/>
          <w:szCs w:val="21"/>
        </w:rPr>
      </w:pPr>
      <w:r>
        <w:rPr>
          <w:rFonts w:hint="eastAsia" w:ascii="宋体" w:hAnsi="宋体" w:eastAsia="宋体" w:cs="仿宋"/>
          <w:color w:val="0C0C0C"/>
          <w:spacing w:val="-4"/>
          <w:szCs w:val="21"/>
        </w:rPr>
        <w:t>抓好三大战略的推进。</w:t>
      </w:r>
    </w:p>
    <w:p>
      <w:pPr>
        <w:numPr>
          <w:numId w:val="0"/>
        </w:numPr>
        <w:adjustRightInd w:val="0"/>
        <w:snapToGrid w:val="0"/>
        <w:spacing w:line="360" w:lineRule="auto"/>
        <w:ind w:firstLine="404" w:firstLineChars="200"/>
        <w:rPr>
          <w:rFonts w:hint="eastAsia" w:ascii="宋体" w:hAnsi="宋体" w:eastAsia="宋体" w:cs="仿宋"/>
          <w:color w:val="0C0C0C"/>
          <w:spacing w:val="-4"/>
          <w:szCs w:val="21"/>
        </w:rPr>
      </w:pPr>
      <w:r>
        <w:rPr>
          <w:rFonts w:hint="eastAsia" w:ascii="宋体" w:hAnsi="宋体" w:eastAsia="宋体" w:cs="仿宋"/>
          <w:color w:val="0C0C0C"/>
          <w:spacing w:val="-4"/>
          <w:szCs w:val="21"/>
          <w:lang w:eastAsia="zh-CN"/>
        </w:rPr>
        <w:t>绩效目标：</w:t>
      </w:r>
      <w:r>
        <w:rPr>
          <w:rFonts w:hint="eastAsia" w:ascii="宋体" w:hAnsi="宋体" w:eastAsia="宋体" w:cs="仿宋"/>
          <w:color w:val="0C0C0C"/>
          <w:spacing w:val="-4"/>
          <w:szCs w:val="21"/>
        </w:rPr>
        <w:t>积极推进质量强市和标准化战略</w:t>
      </w:r>
      <w:r>
        <w:rPr>
          <w:rFonts w:hint="eastAsia" w:ascii="宋体" w:hAnsi="宋体" w:eastAsia="宋体" w:cs="仿宋"/>
          <w:color w:val="0C0C0C"/>
          <w:spacing w:val="-4"/>
          <w:szCs w:val="21"/>
          <w:lang w:eastAsia="zh-CN"/>
        </w:rPr>
        <w:t>、</w:t>
      </w:r>
      <w:r>
        <w:rPr>
          <w:rFonts w:hint="eastAsia" w:ascii="宋体" w:hAnsi="宋体" w:eastAsia="宋体" w:cs="Times New Roman"/>
          <w:szCs w:val="21"/>
          <w:lang w:eastAsia="zh-CN"/>
        </w:rPr>
        <w:t>知识产权战略、食品药品安全战略三大战略。</w:t>
      </w:r>
    </w:p>
    <w:p>
      <w:pPr>
        <w:adjustRightInd w:val="0"/>
        <w:snapToGrid w:val="0"/>
        <w:spacing w:line="360" w:lineRule="auto"/>
        <w:ind w:left="420" w:leftChars="200" w:firstLine="0" w:firstLineChars="0"/>
        <w:rPr>
          <w:rFonts w:hint="eastAsia" w:ascii="宋体" w:hAnsi="宋体" w:eastAsia="宋体" w:cs="Times New Roman"/>
          <w:szCs w:val="21"/>
          <w:lang w:eastAsia="zh-CN"/>
        </w:rPr>
      </w:pPr>
      <w:r>
        <w:rPr>
          <w:rFonts w:hint="eastAsia" w:ascii="宋体" w:hAnsi="宋体" w:eastAsia="宋体" w:cs="仿宋"/>
          <w:color w:val="0C0C0C"/>
          <w:spacing w:val="-4"/>
          <w:szCs w:val="21"/>
          <w:lang w:eastAsia="zh-CN"/>
        </w:rPr>
        <w:t>绩效指标：</w:t>
      </w:r>
      <w:r>
        <w:rPr>
          <w:rFonts w:hint="eastAsia" w:ascii="宋体" w:hAnsi="宋体" w:eastAsia="宋体" w:cs="Times New Roman"/>
          <w:szCs w:val="21"/>
          <w:lang w:eastAsia="zh-CN"/>
        </w:rPr>
        <w:t>全市产（商）品质量合格率达到92%；</w:t>
      </w:r>
    </w:p>
    <w:p>
      <w:pPr>
        <w:adjustRightInd w:val="0"/>
        <w:snapToGrid w:val="0"/>
        <w:spacing w:line="360" w:lineRule="auto"/>
        <w:ind w:left="1470" w:leftChars="700" w:firstLine="0" w:firstLineChars="0"/>
        <w:rPr>
          <w:rFonts w:hint="eastAsia" w:ascii="宋体" w:hAnsi="宋体" w:eastAsia="宋体" w:cs="Times New Roman"/>
          <w:szCs w:val="21"/>
          <w:lang w:eastAsia="zh-CN"/>
        </w:rPr>
      </w:pPr>
      <w:r>
        <w:rPr>
          <w:rFonts w:hint="eastAsia" w:ascii="宋体" w:hAnsi="宋体" w:eastAsia="宋体" w:cs="Times New Roman"/>
          <w:szCs w:val="21"/>
          <w:lang w:eastAsia="zh-CN"/>
        </w:rPr>
        <w:t>全年组织企业主持、参与制修订国家、行业标准20项，省（市）级地方标准10项以上；</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建成国家标准化试点1个，省级标准化试点5个；</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新增国家地理标志商标2件、地标产品2件，中国驰名商标1件；</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省政府质量奖3名，市政府质量奖10名；</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万人发明专利拥有量到2021年底达到6.64件；</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推动规模以上食品生产企业100%通过HACCP体系认证；</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95%以上学校食堂食品安全量化等级达到良好以上；</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食品及食用农产品集中交易市场食品安全整治提升率达到100%；</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食品检验量稳定在每年5.5份/千人,继续保持全省第一；</w:t>
      </w:r>
    </w:p>
    <w:p>
      <w:pPr>
        <w:adjustRightInd w:val="0"/>
        <w:snapToGrid w:val="0"/>
        <w:spacing w:line="360" w:lineRule="auto"/>
        <w:ind w:firstLine="1470" w:firstLineChars="700"/>
        <w:rPr>
          <w:rFonts w:hint="eastAsia" w:ascii="宋体" w:hAnsi="宋体" w:eastAsia="宋体" w:cs="Times New Roman"/>
          <w:szCs w:val="21"/>
          <w:lang w:eastAsia="zh-CN"/>
        </w:rPr>
      </w:pPr>
      <w:r>
        <w:rPr>
          <w:rFonts w:hint="eastAsia" w:ascii="宋体" w:hAnsi="宋体" w:eastAsia="宋体" w:cs="Times New Roman"/>
          <w:szCs w:val="21"/>
          <w:lang w:eastAsia="zh-CN"/>
        </w:rPr>
        <w:t>公众对食品药品安全的满意度稳定在80%以上。</w:t>
      </w:r>
    </w:p>
    <w:p>
      <w:pPr>
        <w:numPr>
          <w:ilvl w:val="0"/>
          <w:numId w:val="2"/>
        </w:numPr>
        <w:adjustRightInd w:val="0"/>
        <w:snapToGrid w:val="0"/>
        <w:spacing w:line="360" w:lineRule="auto"/>
        <w:ind w:firstLine="404" w:firstLineChars="200"/>
        <w:rPr>
          <w:rFonts w:hint="eastAsia" w:ascii="宋体" w:hAnsi="宋体" w:eastAsia="宋体" w:cs="仿宋"/>
          <w:color w:val="0C0C0C"/>
          <w:spacing w:val="-4"/>
          <w:szCs w:val="21"/>
        </w:rPr>
      </w:pPr>
      <w:r>
        <w:rPr>
          <w:rFonts w:hint="eastAsia" w:ascii="宋体" w:hAnsi="宋体" w:eastAsia="宋体" w:cs="仿宋"/>
          <w:color w:val="0C0C0C"/>
          <w:spacing w:val="-4"/>
          <w:szCs w:val="21"/>
        </w:rPr>
        <w:t>抓好全市重点工作的统筹。</w:t>
      </w:r>
    </w:p>
    <w:p>
      <w:pPr>
        <w:numPr>
          <w:numId w:val="0"/>
        </w:numPr>
        <w:adjustRightInd w:val="0"/>
        <w:snapToGrid w:val="0"/>
        <w:spacing w:line="360" w:lineRule="auto"/>
        <w:ind w:firstLine="404" w:firstLineChars="200"/>
        <w:rPr>
          <w:rFonts w:hint="eastAsia" w:ascii="宋体" w:hAnsi="宋体" w:eastAsia="宋体" w:cs="仿宋"/>
          <w:color w:val="0C0C0C"/>
          <w:spacing w:val="-4"/>
          <w:szCs w:val="21"/>
        </w:rPr>
      </w:pPr>
      <w:r>
        <w:rPr>
          <w:rFonts w:hint="eastAsia" w:ascii="宋体" w:hAnsi="宋体" w:eastAsia="宋体" w:cs="仿宋"/>
          <w:color w:val="0C0C0C"/>
          <w:spacing w:val="-4"/>
          <w:szCs w:val="21"/>
          <w:lang w:eastAsia="zh-CN"/>
        </w:rPr>
        <w:t>绩效目标：</w:t>
      </w:r>
      <w:r>
        <w:rPr>
          <w:rFonts w:hint="eastAsia" w:ascii="宋体" w:hAnsi="宋体" w:eastAsia="宋体" w:cs="仿宋"/>
          <w:color w:val="0C0C0C"/>
          <w:spacing w:val="-4"/>
          <w:szCs w:val="21"/>
        </w:rPr>
        <w:t>激发市场活力</w:t>
      </w:r>
      <w:r>
        <w:rPr>
          <w:rFonts w:hint="eastAsia" w:ascii="宋体" w:hAnsi="宋体" w:eastAsia="宋体" w:cs="仿宋"/>
          <w:color w:val="0C0C0C"/>
          <w:spacing w:val="-4"/>
          <w:szCs w:val="21"/>
          <w:lang w:eastAsia="zh-CN"/>
        </w:rPr>
        <w:t>。</w:t>
      </w:r>
    </w:p>
    <w:p>
      <w:pPr>
        <w:numPr>
          <w:numId w:val="0"/>
        </w:numPr>
        <w:adjustRightInd w:val="0"/>
        <w:snapToGrid w:val="0"/>
        <w:spacing w:line="360" w:lineRule="auto"/>
        <w:ind w:firstLine="404" w:firstLineChars="200"/>
        <w:rPr>
          <w:rFonts w:hint="eastAsia" w:ascii="宋体" w:hAnsi="宋体" w:eastAsia="宋体" w:cs="仿宋"/>
          <w:color w:val="0C0C0C"/>
          <w:spacing w:val="-4"/>
          <w:szCs w:val="21"/>
          <w:lang w:eastAsia="zh-CN"/>
        </w:rPr>
      </w:pPr>
      <w:r>
        <w:rPr>
          <w:rFonts w:hint="eastAsia" w:ascii="宋体" w:hAnsi="宋体" w:eastAsia="宋体" w:cs="仿宋"/>
          <w:color w:val="0C0C0C"/>
          <w:spacing w:val="-4"/>
          <w:szCs w:val="21"/>
          <w:lang w:eastAsia="zh-CN"/>
        </w:rPr>
        <w:t>绩效指标：</w:t>
      </w:r>
      <w:r>
        <w:rPr>
          <w:rFonts w:hint="eastAsia" w:ascii="宋体" w:hAnsi="宋体" w:eastAsia="宋体" w:cs="仿宋"/>
          <w:color w:val="0C0C0C"/>
          <w:spacing w:val="-4"/>
          <w:szCs w:val="21"/>
        </w:rPr>
        <w:t>到2021年底，新增市场主体10万户</w:t>
      </w:r>
      <w:r>
        <w:rPr>
          <w:rFonts w:hint="eastAsia" w:ascii="宋体" w:hAnsi="宋体" w:eastAsia="宋体" w:cs="仿宋"/>
          <w:color w:val="0C0C0C"/>
          <w:spacing w:val="-4"/>
          <w:szCs w:val="21"/>
          <w:lang w:eastAsia="zh-CN"/>
        </w:rPr>
        <w:t>；</w:t>
      </w:r>
    </w:p>
    <w:p>
      <w:pPr>
        <w:numPr>
          <w:numId w:val="0"/>
        </w:numPr>
        <w:adjustRightInd w:val="0"/>
        <w:snapToGrid w:val="0"/>
        <w:spacing w:line="360" w:lineRule="auto"/>
        <w:ind w:left="1430" w:leftChars="200" w:hanging="1010" w:hangingChars="500"/>
        <w:rPr>
          <w:rFonts w:hint="eastAsia" w:ascii="宋体" w:hAnsi="宋体" w:eastAsia="宋体" w:cs="仿宋"/>
          <w:color w:val="0C0C0C"/>
          <w:spacing w:val="-4"/>
          <w:szCs w:val="21"/>
        </w:rPr>
      </w:pPr>
      <w:r>
        <w:rPr>
          <w:rFonts w:hint="eastAsia" w:ascii="宋体" w:hAnsi="宋体" w:eastAsia="宋体" w:cs="仿宋"/>
          <w:color w:val="0C0C0C"/>
          <w:spacing w:val="-4"/>
          <w:szCs w:val="21"/>
          <w:lang w:val="en-US" w:eastAsia="zh-CN"/>
        </w:rPr>
        <w:t xml:space="preserve">          </w:t>
      </w:r>
      <w:r>
        <w:rPr>
          <w:rFonts w:hint="eastAsia" w:ascii="宋体" w:hAnsi="宋体" w:eastAsia="宋体" w:cs="仿宋"/>
          <w:color w:val="0C0C0C"/>
          <w:spacing w:val="-4"/>
          <w:szCs w:val="21"/>
        </w:rPr>
        <w:t>到2021年底，全市市场主体年报公示率力争达到90.84%，比2020年提高1.1个百分点</w:t>
      </w:r>
      <w:r>
        <w:rPr>
          <w:rFonts w:hint="eastAsia" w:ascii="宋体" w:hAnsi="宋体" w:eastAsia="宋体" w:cs="仿宋"/>
          <w:color w:val="0C0C0C"/>
          <w:spacing w:val="-4"/>
          <w:szCs w:val="21"/>
          <w:lang w:eastAsia="zh-CN"/>
        </w:rPr>
        <w:t>；</w:t>
      </w:r>
    </w:p>
    <w:p>
      <w:pPr>
        <w:numPr>
          <w:numId w:val="0"/>
        </w:numPr>
        <w:adjustRightInd w:val="0"/>
        <w:snapToGrid w:val="0"/>
        <w:spacing w:line="360" w:lineRule="auto"/>
        <w:ind w:firstLine="1414" w:firstLineChars="700"/>
        <w:rPr>
          <w:rFonts w:hint="eastAsia" w:ascii="宋体" w:hAnsi="宋体" w:eastAsia="宋体" w:cs="仿宋"/>
          <w:color w:val="0C0C0C"/>
          <w:spacing w:val="-4"/>
          <w:szCs w:val="21"/>
        </w:rPr>
      </w:pPr>
      <w:r>
        <w:rPr>
          <w:rFonts w:hint="eastAsia" w:ascii="宋体" w:hAnsi="宋体" w:eastAsia="宋体" w:cs="仿宋"/>
          <w:color w:val="0C0C0C"/>
          <w:spacing w:val="-4"/>
          <w:szCs w:val="21"/>
        </w:rPr>
        <w:t>营造公平竞争环境，公平竞争覆盖率达到100%</w:t>
      </w:r>
      <w:r>
        <w:rPr>
          <w:rFonts w:hint="eastAsia" w:ascii="宋体" w:hAnsi="宋体" w:eastAsia="宋体" w:cs="仿宋"/>
          <w:color w:val="0C0C0C"/>
          <w:spacing w:val="-4"/>
          <w:szCs w:val="21"/>
          <w:lang w:eastAsia="zh-CN"/>
        </w:rPr>
        <w:t>。</w:t>
      </w:r>
    </w:p>
    <w:p>
      <w:pPr>
        <w:numPr>
          <w:ilvl w:val="0"/>
          <w:numId w:val="2"/>
        </w:numPr>
        <w:adjustRightInd w:val="0"/>
        <w:snapToGrid w:val="0"/>
        <w:spacing w:line="360" w:lineRule="auto"/>
        <w:ind w:firstLine="404" w:firstLineChars="200"/>
        <w:rPr>
          <w:rFonts w:hint="eastAsia" w:ascii="宋体" w:hAnsi="宋体" w:eastAsia="宋体" w:cs="仿宋"/>
          <w:color w:val="0C0C0C"/>
          <w:spacing w:val="-4"/>
          <w:szCs w:val="21"/>
        </w:rPr>
      </w:pPr>
      <w:r>
        <w:rPr>
          <w:rFonts w:hint="eastAsia" w:ascii="宋体" w:hAnsi="宋体" w:eastAsia="宋体" w:cs="仿宋"/>
          <w:color w:val="0C0C0C"/>
          <w:spacing w:val="-4"/>
          <w:szCs w:val="21"/>
        </w:rPr>
        <w:t>抓好安全底线的防守。</w:t>
      </w:r>
    </w:p>
    <w:p>
      <w:pPr>
        <w:numPr>
          <w:numId w:val="0"/>
        </w:numPr>
        <w:adjustRightInd w:val="0"/>
        <w:snapToGrid w:val="0"/>
        <w:spacing w:line="360" w:lineRule="auto"/>
        <w:ind w:firstLine="404" w:firstLineChars="200"/>
        <w:rPr>
          <w:rFonts w:hint="eastAsia" w:ascii="宋体" w:hAnsi="宋体" w:eastAsia="宋体" w:cs="仿宋"/>
          <w:color w:val="0C0C0C"/>
          <w:spacing w:val="-4"/>
          <w:szCs w:val="21"/>
        </w:rPr>
      </w:pPr>
      <w:r>
        <w:rPr>
          <w:rFonts w:hint="eastAsia" w:ascii="宋体" w:hAnsi="宋体" w:eastAsia="宋体" w:cs="仿宋"/>
          <w:color w:val="0C0C0C"/>
          <w:spacing w:val="-4"/>
          <w:szCs w:val="21"/>
          <w:lang w:eastAsia="zh-CN"/>
        </w:rPr>
        <w:t>绩效目标：</w:t>
      </w:r>
      <w:r>
        <w:rPr>
          <w:rFonts w:hint="eastAsia" w:ascii="宋体" w:hAnsi="宋体" w:eastAsia="宋体" w:cs="仿宋"/>
          <w:color w:val="0C0C0C"/>
          <w:spacing w:val="-4"/>
          <w:szCs w:val="21"/>
        </w:rPr>
        <w:t>继续盯紧四个安全，防范化解重大安全风险隐患，确保不发生重大食品、药品、特种设备安全事件，确保不发生系统性、区域性、行业性质量安全事件，</w:t>
      </w:r>
    </w:p>
    <w:p>
      <w:pPr>
        <w:numPr>
          <w:numId w:val="0"/>
        </w:numPr>
        <w:adjustRightInd w:val="0"/>
        <w:snapToGrid w:val="0"/>
        <w:spacing w:line="360" w:lineRule="auto"/>
        <w:ind w:left="1430" w:leftChars="200" w:hanging="1010" w:hangingChars="500"/>
        <w:rPr>
          <w:rFonts w:hint="eastAsia" w:ascii="宋体" w:hAnsi="宋体" w:eastAsia="宋体" w:cs="仿宋"/>
          <w:color w:val="0C0C0C"/>
          <w:spacing w:val="-4"/>
          <w:szCs w:val="21"/>
        </w:rPr>
      </w:pPr>
      <w:r>
        <w:rPr>
          <w:rFonts w:hint="eastAsia" w:ascii="宋体" w:hAnsi="宋体" w:eastAsia="宋体" w:cs="仿宋"/>
          <w:color w:val="0C0C0C"/>
          <w:spacing w:val="-4"/>
          <w:szCs w:val="21"/>
          <w:lang w:eastAsia="zh-CN"/>
        </w:rPr>
        <w:t>绩效指标：</w:t>
      </w:r>
      <w:r>
        <w:rPr>
          <w:rFonts w:hint="eastAsia" w:ascii="宋体" w:hAnsi="宋体" w:eastAsia="宋体" w:cs="仿宋"/>
          <w:color w:val="0C0C0C"/>
          <w:spacing w:val="-4"/>
          <w:szCs w:val="21"/>
        </w:rPr>
        <w:t>围绕暑期、国庆等重要时间节点，加强对重点行业、重点企业的监督检查，确保进京、供秦食品安全，确保特种设备安全运行。</w:t>
      </w:r>
    </w:p>
    <w:p>
      <w:pPr>
        <w:numPr>
          <w:numId w:val="0"/>
        </w:numPr>
        <w:adjustRightInd w:val="0"/>
        <w:snapToGrid w:val="0"/>
        <w:spacing w:line="360" w:lineRule="auto"/>
        <w:ind w:left="1470" w:leftChars="700" w:firstLine="0" w:firstLineChars="0"/>
        <w:rPr>
          <w:rFonts w:hint="eastAsia" w:ascii="宋体" w:hAnsi="宋体" w:eastAsia="宋体" w:cs="仿宋"/>
          <w:color w:val="0C0C0C"/>
          <w:spacing w:val="-4"/>
          <w:szCs w:val="21"/>
        </w:rPr>
      </w:pPr>
      <w:r>
        <w:rPr>
          <w:rFonts w:hint="eastAsia" w:ascii="宋体" w:hAnsi="宋体" w:eastAsia="宋体" w:cs="仿宋"/>
          <w:color w:val="0C0C0C"/>
          <w:spacing w:val="-4"/>
          <w:szCs w:val="21"/>
        </w:rPr>
        <w:t>大力实施唐山食品药品安全工程，推动各级地方党政领导干部食品安全责任制落实。完善应急处置机制，强化突发事件应对处置能力，坚决防止因处置不当引发群体性事件和社会不稳定因素。</w:t>
      </w:r>
    </w:p>
    <w:p>
      <w:pPr>
        <w:jc w:val="left"/>
        <w:rPr>
          <w:rFonts w:ascii="宋体" w:hAnsi="宋体" w:eastAsia="宋体"/>
          <w:b/>
          <w:color w:val="000000"/>
          <w:sz w:val="32"/>
        </w:rPr>
      </w:pPr>
      <w:r>
        <w:rPr>
          <w:rFonts w:hint="eastAsia" w:ascii="宋体" w:hAnsi="宋体" w:eastAsia="宋体"/>
          <w:b/>
          <w:color w:val="000000"/>
          <w:sz w:val="32"/>
          <w:lang w:eastAsia="zh-CN"/>
        </w:rPr>
        <w:t>三</w:t>
      </w:r>
      <w:r>
        <w:rPr>
          <w:rFonts w:ascii="宋体" w:hAnsi="宋体" w:eastAsia="宋体"/>
          <w:b/>
          <w:color w:val="000000"/>
          <w:sz w:val="32"/>
        </w:rPr>
        <w:t>、目标规划及保障措施</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1、深入实施质量强市、名牌、标准化战略，推动质量总体水平提升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深入推进质量强市战略。一是加强质量宏观分析，掌控经济质量状况，提升对经济宏观发展状态的预见性，为政府宏观决策提供科学依据。进一步发挥质量考核的导向作用，强化对地方政府的质量工作考核，不断健全质量考核方式方法。二是促进产业优化升级和结构调整。以组织争创省市“质量奖”为抓手，推动企业追求卓越绩效，持续改进质量管理体系，引导企业由粗放型向集约型，由高耗能、高污染向节能、环保型转变，提升可持续发展能力。三是开展质量改进和质量提升活动。以“名牌创建示范基地”建设为引导，推动以中小企业为主体的产业集群发展和特色农业发展。三是加强产品质量诚信体系建设。建立完善企业质量信用体系，不断完善信息的汇集、交换、分析和发布的工作机制，建立质量守信激励机制和失信惩戒机制，推动企业落实质量责任。四是紧紧围绕我</w:t>
      </w:r>
      <w:r>
        <w:rPr>
          <w:rFonts w:hint="eastAsia" w:ascii="宋体" w:hAnsi="宋体" w:eastAsia="宋体" w:cs="宋体"/>
          <w:szCs w:val="21"/>
        </w:rPr>
        <w:t>市主导产业，深入实施名牌战略</w:t>
      </w:r>
      <w:r>
        <w:rPr>
          <w:rFonts w:hint="eastAsia" w:ascii="宋体" w:hAnsi="宋体" w:eastAsia="宋体" w:cs="方正小标宋简体"/>
          <w:szCs w:val="21"/>
          <w:lang w:val="zh-CN"/>
        </w:rPr>
        <w:t>，进一步发挥</w:t>
      </w:r>
      <w:r>
        <w:rPr>
          <w:rFonts w:hint="eastAsia" w:ascii="宋体" w:hAnsi="宋体" w:eastAsia="宋体" w:cs="宋体"/>
          <w:szCs w:val="21"/>
        </w:rPr>
        <w:t>名牌</w:t>
      </w:r>
      <w:r>
        <w:rPr>
          <w:rFonts w:hint="eastAsia" w:ascii="宋体" w:hAnsi="宋体" w:eastAsia="宋体" w:cs="方正小标宋简体"/>
          <w:szCs w:val="21"/>
          <w:lang w:val="zh-CN"/>
        </w:rPr>
        <w:t>在</w:t>
      </w:r>
      <w:r>
        <w:rPr>
          <w:rFonts w:hint="eastAsia" w:ascii="宋体" w:hAnsi="宋体" w:eastAsia="宋体" w:cs="Times New Roman"/>
          <w:szCs w:val="21"/>
        </w:rPr>
        <w:t>促进工业振兴和产业结构调整</w:t>
      </w:r>
      <w:r>
        <w:rPr>
          <w:rFonts w:hint="eastAsia" w:ascii="宋体" w:hAnsi="宋体" w:eastAsia="宋体" w:cs="方正小标宋简体"/>
          <w:szCs w:val="21"/>
          <w:lang w:val="zh-CN"/>
        </w:rPr>
        <w:t>中的带动作用</w:t>
      </w:r>
      <w:r>
        <w:rPr>
          <w:rFonts w:hint="eastAsia" w:ascii="宋体" w:hAnsi="宋体" w:eastAsia="宋体" w:cs="宋体"/>
          <w:szCs w:val="21"/>
        </w:rPr>
        <w:t>，</w:t>
      </w:r>
      <w:r>
        <w:rPr>
          <w:rFonts w:hint="eastAsia" w:ascii="宋体" w:hAnsi="宋体" w:eastAsia="宋体" w:cs="Times New Roman"/>
          <w:szCs w:val="21"/>
        </w:rPr>
        <w:t>探索出一条“名牌产品—企业品牌—产业品牌—区域品牌”的发展道路，促进</w:t>
      </w:r>
      <w:r>
        <w:rPr>
          <w:rFonts w:hint="eastAsia" w:ascii="宋体" w:hAnsi="宋体" w:eastAsia="宋体" w:cs="宋体"/>
          <w:szCs w:val="21"/>
        </w:rPr>
        <w:t>形成一批拥有自主知识产权、主业突出、有品牌优势与掌握核心技术的大企业和大型企业集团，积极推动区域品牌建设。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深入推进标准化战略。围绕京津冀协同发展和沿海经济崛起战略推进标准化工作，引导企业参与国内、国际标准的制修订，提高企业产品竞争力；以国家、省级服务标准化试点项目建设为重点，完善服务标准体系，规范服务行为，提升服务质量。突出抓好装备制造、电子信息、新材料标准体系建设。推动国家级、省级农业标准化示范区建设，为我市新型城镇化建设提供技术支撑。</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全面提升计量保障能力。统筹规划建设量传溯源体系，提高服务经济社会发展的计量支撑能力;建设能源资源计量体系，为节能减排降耗提供计量保证。开展节能计量器具检测、计量咨询等节能服务活动，开展能源计量人员培训，构建能源资源计量服务体系。配合国家城市能源计量中心，开展能源资源计量数据在线、实时采集信息工作，为政府节能监管提供客观数据。完善企业计量检测和管理体系，推动企业提升自主创新能力。加强计量技术和方法研究，提升计量服务保障水平。建立完善计量器具产品质量监督抽查制度。推进诚信计量体系建设，促进社会和谐。实施“计量惠民生，诚信促和谐”工程，引导经营者遵守诚信计量行为规范，建立健全计量管理制度，在与群众生活密切相关领域开展诚信计量体系建设。建立诚信计量信息公共平台，把诚信计量情况纳入企业诚信范围，实现诚信计量信息社会共享。强化经营者主体责任，培育自律意识，推动经营者开展诚信计量自我承诺活动，培育诚信计量示范单位。加强食品安全、贸易结算、安全防护、医疗卫生、环境监测等与群众切身利益紧密相关领域的计量监管，提升计量执法水平，重点提高对加油机、电子计价秤、出租汽车计价器、汽车衡等利用科技手段作弊行为的计量监管和执法查处能力。严厉查处制造带有作弊功能的计量器具和利用科技手段作弊的计量违法行为。加强行业性、区域性计量违法问题的集中整治。</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2、切实保障</w:t>
      </w:r>
      <w:r>
        <w:rPr>
          <w:rFonts w:hint="eastAsia" w:ascii="宋体" w:hAnsi="宋体" w:eastAsia="宋体" w:cs="宋体"/>
          <w:szCs w:val="21"/>
        </w:rPr>
        <w:t>产品质量、特种设备安全</w:t>
      </w:r>
      <w:r>
        <w:rPr>
          <w:rFonts w:hint="eastAsia" w:ascii="宋体" w:hAnsi="宋体" w:eastAsia="宋体" w:cs="Times New Roman"/>
          <w:szCs w:val="21"/>
        </w:rPr>
        <w:t>，提升执法监督工作水平。</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（1）质量共治，确保产品质量安全。</w:t>
      </w:r>
      <w:r>
        <w:rPr>
          <w:rFonts w:hint="eastAsia" w:ascii="宋体" w:hAnsi="宋体" w:eastAsia="宋体" w:cs="Times New Roman"/>
          <w:szCs w:val="21"/>
        </w:rPr>
        <w:t>贯彻实施《产品质量法》，全面落实产品质量安全企业主体责任。规范企业生产经营行为，促进生产企业生产管理和产品质量水平的不断提升。开展重点产品安全整顿和专项整治工作。定期开展专项整治，防止区域性、行业性重大产品质量安全事件的发生。</w:t>
      </w:r>
      <w:r>
        <w:rPr>
          <w:rFonts w:hint="eastAsia" w:ascii="宋体" w:hAnsi="宋体" w:eastAsia="宋体" w:cs="宋体"/>
          <w:szCs w:val="21"/>
        </w:rPr>
        <w:t>创新监管模式，大力开展分类监管，扩大市级监督抽查覆盖面，及时发布监督抽查结果，落实不合格企业整改，增强监督抽查的权威性和有效性。加强对重点产品、重点产业、重点区域的质量监督，及时开展各项专项整治和质量提升活动，指导企业运行质量管理体系，提高产品质量水平。强化生产许可证证后管理。发挥许可证制度市场准入和安全把关作用，切实发挥好生产许可促进产业政策落实、产业结构优化、产业节能减排和保证质量安全等职能作用。建立对群众举报、质量申诉、产品质量监督抽查、产业结构调整以及市场价格变化、产品质量风险防控等综合信息分析系统，发现和掌握苗头性、区域性问题。</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创新监管，保障特种设备安全。进一步完善以特种设备生产使用单位安全主体责任、检验检测机构技术把关责任、安全监察部门依法监管责任、基层政府督促协调责任的多方安全责任体系；完善落实责任的机制与措施，保证安全责任履行；进一步健全全市特种设备动态监管体系和信息化监管水平，实现现有监察数据库实时更新，保证安全监察信息变化后及时输入数据库并及时有效上传相关数据。实现监察执法信息化。配合上级部门完成特种设备现场监督检查和执法手持终端的配备、使用。加强执法与监督，严厉打击特种设备违法违规行为，强化安全责任追究。积极推进96333电梯安全管理应急处置平台建设。强化老旧电梯监控和监管。进一步强化电梯维保单位备案、考核，维护电梯维护保养市场秩序，保障电梯维保质量。强化特种设备乘用知识宣传，提高群众安全文明乘梯的良好氛围。加强特种设备动态监管体系建设，构建特种设备安全监察长效监管机制</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（3）加强认证认可监督管理。</w:t>
      </w:r>
      <w:r>
        <w:rPr>
          <w:rFonts w:hint="eastAsia" w:ascii="宋体" w:hAnsi="宋体" w:eastAsia="宋体" w:cs="Times New Roman"/>
          <w:szCs w:val="21"/>
        </w:rPr>
        <w:t>健全资质认定实验室监督检查规章制度，完善工作机制，增强监管实效。大力加强机动车安检机构等涉及安全的检验机构的监管，促进检验质量不断提高，保障人民群众生命财产安全。发挥认证认可的导向作用，加大环保、节能、低碳、有机等认证推广，助推节能减排任务落实，鼓励更多企业走质量效益型道路，推动我市产业升级。</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3、推动技术机构能力提升，打造高水平技术服务平台。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围绕服务于我市产业发展特点，依托国家级中心、省级质检中心、打造计量、质检、纤检等服务平台。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计量技术服务平台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宋体"/>
          <w:szCs w:val="21"/>
        </w:rPr>
        <w:t>加强社会公用计量标准建设，提高计量服务保障能力。构建起分工明确、服务优质、行为公正、廉洁高效的适应市场经济发展需要的计量技术公共服务平台。</w:t>
      </w:r>
    </w:p>
    <w:p>
      <w:pPr>
        <w:spacing w:line="360" w:lineRule="auto"/>
        <w:ind w:firstLine="420" w:firstLineChars="200"/>
        <w:rPr>
          <w:rFonts w:ascii="宋体" w:hAnsi="宋体" w:eastAsia="宋体" w:cs="宋体"/>
          <w:szCs w:val="21"/>
        </w:rPr>
      </w:pPr>
      <w:r>
        <w:rPr>
          <w:rFonts w:hint="eastAsia" w:ascii="宋体" w:hAnsi="宋体" w:eastAsia="宋体" w:cs="宋体"/>
          <w:szCs w:val="21"/>
        </w:rPr>
        <w:t>（2）计量科研水平显著提高。十三五期间，对恒温恒湿实验室进行改造，以提升国家实验室管理水平。投资购置精密水准仪、经纬仪、综合检验仪、复合式力标准机、千斤顶检定装置、移液器检定装置、精密露点仪，湿度发生器、M1等级砝码、多功能电气安全测试仪、空盒气压表检定装置、恒温箱等仪器仪表。总投资930万新建DN(15-800)mm液体流量标准装置项目。结合唐山市产业现状，吸收国内先进技术，带动相关产业链，与唐山其他产业互相配合，形成良好的能源计量体系开展节能计量器具检测活动；配合国家城市的节能减排工作，为节能减排降耗提供计量保证，建设水流量标准装置，助推我市工业企业降低能源消耗。</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质检技术服务平台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按照检验检测技术机构向高科技服务领域发展的理念，逐步完善国家钢铁中心功能，提升省级站覆盖范围和检测能力，高定位、远视野确定发展方向。注重科技研发和能力创新，服务地方产业经济发展的同时，促使检验检测服务领域辐射周边省区。围绕我市产业发展特点，布局新项目，加快成果转化，推动实验室向更高层次、更宽领域发展，提高实验室的科技含量和科技水平。筹划新增3项目检测项目，分别为型煤煤质检测、甲醇汽油质量评测、煤中有害元素测定，投资1002万元，购置冷原子吸收测汞仪、原子荧光分光光度计、电感耦合等离子发射光谱、辛烷值测定仪等设备33台套。</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纤检技术服务平台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提升技术服务能力，拓展业务范围。开展纤维、棉花公证检验实验室整体迁建改造工程，建成两间恒温恒湿实验室（400平米），棉花品级检验室，纺织品检验实验室。新购置一台大容量棉花测试仪，总投资480万元。深入开展棉花公证检验工作，打造信息化服务平台，积极扶持棉花加工企业提升档次，实现全市棉花加工企业产品质量提高。拓展业务范围，积极推进棉花及非棉纤维制品的检验工作开展，努力建成完善的纺织品检验体系。深化棉花市场监督管理职能，提高棉花执法打假的有效性。转变观念，创新机制，围绕质量信用体系建设,发挥市场机制作用，建立起同行业之间互相监督和约束机制。坚持棉花执法打假与综合治理结合、扶优扶强相结合工作方法，提高棉花执法打假工作的有效性，建立棉花市场规范秩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标准化技术服务平台</w:t>
      </w:r>
    </w:p>
    <w:p>
      <w:pPr>
        <w:widowControl/>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加强组织机构代码管理工作，按照国务院推行商事登记制度改革的要求，完善代码服务，确保代码数据质量，推进“三证合一”和“一照一码”工作进程。拓宽商品条码服务渠道，提升商品条码检测能力，确保商品条码质量，加强商品条码印刷企业资质认定，保证其质量体系的建立和运行。充分发挥商品条码在商品流通中的身份证作用，突出对商品的宣传和销售，促进条码在传统零售业及电子商务、网络购物、移动商务等电商领域的引领作用。围绕物联网标识、二维码等核心技术，积极发挥条码在质量管理、防伪技术、产品溯源、电子商务等核心技术领域的作用,紧扣热点，进一步推进物品编码在网络电商、汽车零部件及后市场、医疗卫生、农资、物流供应链等领域的应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科技研发平台建设</w:t>
      </w:r>
    </w:p>
    <w:p>
      <w:pPr>
        <w:widowControl/>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科学技术支撑方面，研究和解决满足测量技术、检验技术的共性、基础性技术难点问题，初步建立满足学科发展，持续发展的科技研发平台，为建立相应的高科技、高技术测量方法、检验方法研究提供技术支撑。在科技队伍建设方面，建立以国家级中心、省级中心等检验检测科研机构为龙头，以科技计划课题为纽带，以优势互补、自愿共赢为原则，以测量技术、检验技术研究开发和成果应用为主要任务，科研院所、大专院校、企业、技术机构、政府部门等广泛参与、团结合作、优势互补、有机结合的门类和学科较为齐全的科技队伍，人员数量和素质得到进一步提高和优化。</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推进技术机构体制改革</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从体制和机制创新入手，积极稳妥推进各项改革。坚持资源合理利用、优化配置，采取资源整合等多种形式，通过合理布局、科学规划，实现技术机构资源优化组合。创新技术机构管理运行模式，探索技术机构建立完善市场运行体系，推进技术机构市场化运作，促进技术机构快速发展，提升市场竞争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开展餐饮服务食品安全监督量化分级管理工作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按照省局《餐饮服务食品安全监督量化分级管理办法》，有序推进量化分级管理，建立餐饮安全监管信用档案，按照统一的量化分级标牌公示评定等级。以学校（含托幼机构）食堂、大型餐饮服务单位为重点，开展年度等级评定工作，实行分级管理。启动中、小型餐饮单位等级评定工作，鼓励大中型餐饮服务单位实行科学管理方法，不断提高食品安全管理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开展小</w:t>
      </w:r>
      <w:r>
        <w:rPr>
          <w:rFonts w:hint="eastAsia" w:ascii="宋体" w:hAnsi="宋体" w:eastAsia="宋体" w:cs="Times New Roman"/>
          <w:szCs w:val="21"/>
        </w:rPr>
        <w:t>型</w:t>
      </w:r>
      <w:r>
        <w:rPr>
          <w:rFonts w:ascii="宋体" w:hAnsi="宋体" w:eastAsia="宋体" w:cs="Times New Roman"/>
          <w:szCs w:val="21"/>
        </w:rPr>
        <w:t>餐饮</w:t>
      </w:r>
      <w:r>
        <w:rPr>
          <w:rFonts w:hint="eastAsia" w:ascii="宋体" w:hAnsi="宋体" w:eastAsia="宋体" w:cs="Times New Roman"/>
          <w:szCs w:val="21"/>
        </w:rPr>
        <w:t>服务提供者实行登记管理的</w:t>
      </w:r>
      <w:r>
        <w:rPr>
          <w:rFonts w:ascii="宋体" w:hAnsi="宋体" w:eastAsia="宋体" w:cs="Times New Roman"/>
          <w:szCs w:val="21"/>
        </w:rPr>
        <w:t>专项整治工作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重点加强对各县（市）区监督机构的业务指导，加大巡回检查力度，规范小餐</w:t>
      </w:r>
      <w:r>
        <w:rPr>
          <w:rFonts w:hint="eastAsia" w:ascii="宋体" w:hAnsi="宋体" w:eastAsia="宋体" w:cs="Times New Roman"/>
          <w:szCs w:val="21"/>
        </w:rPr>
        <w:t>型餐</w:t>
      </w:r>
      <w:r>
        <w:rPr>
          <w:rFonts w:ascii="宋体" w:hAnsi="宋体" w:eastAsia="宋体" w:cs="Times New Roman"/>
          <w:szCs w:val="21"/>
        </w:rPr>
        <w:t>饮单位经营行为。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一是整治无证经营行为。准确摸清辖区餐饮服务单位底数，全面掌握无证经营餐饮服务单位基本情况，集中开展清理整治工作。按照“规范一批、提升一批、淘汰一批”的工作目标，对基本经营条件不具备、食品安全管理制度不落实、存在严重食品安全隐患、整改后仍达不到要求的小餐饮单位，坚决予以取缔。同时要对无证经营餐饮服务单位进行分析汇总，找准问题原因，联合相关部门采取相应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二是规范小餐饮经营行为。按照《食品安全法》、《餐饮服务食品安全监督管理办法》、《餐饮服务食品安全操作规范》等法律法规要求，严格加强已取得《餐饮服务许可证》小餐饮单位的监督。重点加强食品原料进货台账、加工过程的生熟交叉污染、餐具消毒及从业人员健康体检等方面的监督检查力度，加大整治超许可范围经营凉菜行为。同时，对改变基础卫生设施，存在食品安全隐患的单位，经整改后仍不符合生产经营许可条件的，依法撤销许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以学校食堂食品安全为重点领域，强化对学校食堂、供餐单位和托餐机构等餐饮服务单位食品安全的监督检查。加强对人员、环境、设施、原料、操作等监管，全面落实监管责任。继续深化建筑工地食堂的专项整治，开展餐饮服务环节肉及肉制品等产品整治行动。以提供自制火锅底料、自制饮料、自制调味料的餐饮服务单位为重点，认真排查，严厉打击非法添加非食用物质和滥用食品添加剂等违法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加强食品安全事故应急处置工作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成立餐饮服务食品安全事故应急处置领导小组，完善食品安全事故应急处置预案，组建应急处置队伍，开展模拟食品安全事故应急处置演练。强化事故发生单位的责任报告意识，完善大型餐饮服务单位食品安全事故应急处置预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开展抽样检验、风险监测工作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按照省局监督抽检工作方案的要求，结合我市实际情况，对重点品种进行抽检。加大对熟食卤味、凉拌菜、生食海鲜、熟肉制品等高风险食品的监督抽检力度。加大对餐饮具消毒，尤其是集中消毒餐饮具和一次性餐具监督抽验频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做好重大活动保障工作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ascii="宋体" w:hAnsi="宋体" w:eastAsia="宋体" w:cs="Times New Roman"/>
          <w:szCs w:val="21"/>
        </w:rPr>
        <w:t>坚持“预防为主、属地管理、分级负责”的原则，进一步规范食品安全保障工作，认真研究制定重大节日和重大活动餐饮服务食品安全保障方案，全面落实各项保障制度，落实责任措施，加强检查和巡查，确保重大节日和重大活动餐饮服务食品安全保障工作有序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深入开展保健食品化妆品监管工作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eastAsia="宋体" w:cs="Times New Roman"/>
          <w:szCs w:val="21"/>
        </w:rPr>
      </w:pPr>
      <w:r>
        <w:rPr>
          <w:rFonts w:ascii="宋体" w:hAnsi="宋体" w:eastAsia="宋体" w:cs="Times New Roman"/>
          <w:szCs w:val="21"/>
        </w:rPr>
        <w:t>完成摸底调查工作</w:t>
      </w:r>
      <w:r>
        <w:rPr>
          <w:rFonts w:hint="eastAsia" w:ascii="宋体" w:hAnsi="宋体" w:eastAsia="宋体" w:cs="Times New Roman"/>
          <w:szCs w:val="21"/>
        </w:rPr>
        <w:t>，</w:t>
      </w:r>
      <w:r>
        <w:rPr>
          <w:rFonts w:ascii="宋体" w:hAnsi="宋体" w:eastAsia="宋体" w:cs="Times New Roman"/>
          <w:szCs w:val="21"/>
        </w:rPr>
        <w:t>进一步摸清辖区内保健食品、化妆品生产经营企业生产经营的品种、从业人员等基本情况，逐步建立辖区保健食品、化妆品生产经营企业的基础档案，做到档案规范、底数清楚。加强日常监管按照《保健食品、化妆品生产经营企业日常监督现场检查工作指南》，加强重点企业的监管，特别加强逾期未换证、报停企业、委托加工等生产企业的监管。督促企业完善质量管理制度，落实进货查验、索证索票等产品质量安全管理措施。建立违规企业“黑名单”制度，对违法违规企业依法严处。加强对化妆品备案产品的监督检查，对每个企业备案产品的监督率不低于90%。开展专项整治工作</w:t>
      </w:r>
      <w:r>
        <w:rPr>
          <w:rFonts w:hint="eastAsia" w:ascii="宋体" w:hAnsi="宋体" w:eastAsia="宋体" w:cs="Times New Roman"/>
          <w:szCs w:val="21"/>
        </w:rPr>
        <w:t>，</w:t>
      </w:r>
      <w:r>
        <w:rPr>
          <w:rFonts w:ascii="宋体" w:hAnsi="宋体" w:eastAsia="宋体" w:cs="Times New Roman"/>
          <w:szCs w:val="21"/>
        </w:rPr>
        <w:t>在保健食品化妆品生产经营企业严厉打击违法添加行为，严厉打击生产经营假冒伪劣产品行为，严厉整治标签标识不规范、夸大宣传等行为。开展监督抽检工作</w:t>
      </w:r>
      <w:r>
        <w:rPr>
          <w:rFonts w:hint="eastAsia" w:ascii="宋体" w:hAnsi="宋体" w:eastAsia="宋体" w:cs="Times New Roman"/>
          <w:szCs w:val="21"/>
        </w:rPr>
        <w:t>，</w:t>
      </w:r>
      <w:r>
        <w:rPr>
          <w:rFonts w:ascii="宋体" w:hAnsi="宋体" w:eastAsia="宋体" w:cs="Times New Roman"/>
          <w:szCs w:val="21"/>
        </w:rPr>
        <w:t>按照省局保健食品化妆品抽检工作部署，结合我市具体情况，对辖区内保健食品化妆品生产经营企业开展监督抽检工作。严格按照抽检工作程序，加大对减肥类、降糖类保健食品及特殊用途化妆品的抽检力度。</w:t>
      </w:r>
    </w:p>
    <w:p>
      <w:pPr>
        <w:spacing w:line="360" w:lineRule="auto"/>
        <w:ind w:firstLine="420" w:firstLineChars="200"/>
        <w:jc w:val="left"/>
        <w:rPr>
          <w:rFonts w:ascii="宋体" w:hAnsi="宋体" w:eastAsia="宋体" w:cs="仿宋_GB2312"/>
          <w:color w:val="0C0C0C"/>
          <w:szCs w:val="21"/>
        </w:rPr>
      </w:pPr>
      <w:r>
        <w:rPr>
          <w:rFonts w:hint="eastAsia" w:ascii="宋体" w:hAnsi="宋体" w:eastAsia="宋体" w:cs="Times New Roman"/>
          <w:szCs w:val="21"/>
        </w:rPr>
        <w:t>10、强化能力建设。一是加大教育培训力度。</w:t>
      </w:r>
      <w:r>
        <w:rPr>
          <w:rFonts w:hint="eastAsia" w:ascii="宋体" w:hAnsi="宋体" w:eastAsia="宋体" w:cs="仿宋"/>
          <w:color w:val="0C0C0C"/>
          <w:spacing w:val="-4"/>
          <w:szCs w:val="21"/>
        </w:rPr>
        <w:t>狠抓党员干部理论学习和业务学习，按时完成公务员在线培训工作。积极参加上级组织的培训，创新教育培训形式，加大教育培训频次，增强教育培训的实效性，不断提高干部队伍履职能力。二</w:t>
      </w:r>
      <w:r>
        <w:rPr>
          <w:rFonts w:hint="eastAsia" w:ascii="宋体" w:hAnsi="宋体" w:eastAsia="宋体" w:cs="Times New Roman"/>
          <w:szCs w:val="21"/>
        </w:rPr>
        <w:t>是加强法制建设。坚持用法治思维和法治方式推动工作，做到“法无授权不可为、法定职责必须为”，不缺位、不越位、不错位。抓好行政执法公示、执法全过程记录、重大执法决定法制审核等“三项制度”落实，强化执法监督，落实行政执法责任制和责任追究制，不断提升法治工作水平。</w:t>
      </w:r>
    </w:p>
    <w:p>
      <w:pPr>
        <w:spacing w:line="360" w:lineRule="auto"/>
        <w:ind w:firstLine="420" w:firstLineChars="200"/>
        <w:jc w:val="left"/>
        <w:rPr>
          <w:rFonts w:ascii="宋体" w:hAnsi="宋体" w:eastAsia="宋体" w:cs="仿宋_GB2312"/>
          <w:szCs w:val="21"/>
        </w:rPr>
      </w:pPr>
      <w:r>
        <w:rPr>
          <w:rFonts w:hint="eastAsia" w:ascii="宋体" w:hAnsi="宋体" w:eastAsia="宋体" w:cs="Times New Roman"/>
          <w:szCs w:val="21"/>
        </w:rPr>
        <w:t>11、强化作风建设。一是加强作风建设。</w:t>
      </w:r>
      <w:r>
        <w:rPr>
          <w:rFonts w:hint="eastAsia" w:ascii="宋体" w:hAnsi="宋体" w:eastAsia="宋体" w:cs="仿宋_GB2312"/>
          <w:szCs w:val="21"/>
        </w:rPr>
        <w:t>着力发现解决</w:t>
      </w:r>
      <w:r>
        <w:rPr>
          <w:rFonts w:ascii="宋体" w:hAnsi="宋体" w:eastAsia="宋体" w:cs="仿宋_GB2312"/>
          <w:szCs w:val="21"/>
        </w:rPr>
        <w:t>“</w:t>
      </w:r>
      <w:r>
        <w:rPr>
          <w:rFonts w:hint="eastAsia" w:ascii="宋体" w:hAnsi="宋体" w:eastAsia="宋体" w:cs="仿宋_GB2312"/>
          <w:szCs w:val="21"/>
        </w:rPr>
        <w:t>不作为、乱作为、慢作为”问题。要持之以恒落实中央八项规定精神，持续推进作风建设。</w:t>
      </w:r>
      <w:r>
        <w:rPr>
          <w:rFonts w:hint="eastAsia" w:ascii="宋体" w:hAnsi="宋体" w:eastAsia="宋体" w:cs="Times New Roman"/>
          <w:szCs w:val="21"/>
        </w:rPr>
        <w:t>二是加强党风廉政建设。</w:t>
      </w:r>
      <w:r>
        <w:rPr>
          <w:rFonts w:hint="eastAsia" w:ascii="宋体" w:hAnsi="宋体" w:eastAsia="宋体" w:cs="仿宋_GB2312"/>
          <w:szCs w:val="21"/>
        </w:rPr>
        <w:t>坚决落实全面从严治党要求，遵守党的政治纪律和政治规矩，永葆干净本色，切实做到清廉自律、坚守底线。严格落实“两个责任”，切实履行“一岗双责”，抓好班子，带好队伍，确保风清气正。三要真抓实干。永葆担当和实干本色，切实担负起工商和市场监管工作的重任，始终以强烈的责任心攻坚克难，解决好一个个实际问题。</w:t>
      </w:r>
    </w:p>
    <w:p>
      <w:pPr>
        <w:adjustRightInd w:val="0"/>
        <w:snapToGrid w:val="0"/>
        <w:spacing w:line="360" w:lineRule="auto"/>
        <w:ind w:firstLine="315" w:firstLineChars="150"/>
        <w:rPr>
          <w:rFonts w:ascii="Calibri" w:hAnsi="Calibri" w:eastAsia="宋体" w:cs="Times New Roman"/>
        </w:rPr>
      </w:pPr>
      <w:r>
        <w:rPr>
          <w:rFonts w:hint="eastAsia" w:ascii="宋体" w:hAnsi="宋体" w:eastAsia="宋体" w:cs="Times New Roman"/>
          <w:szCs w:val="21"/>
        </w:rPr>
        <w:t>12、强化组织领导。一是</w:t>
      </w:r>
      <w:r>
        <w:rPr>
          <w:rFonts w:hint="eastAsia" w:ascii="宋体" w:hAnsi="宋体" w:eastAsia="宋体" w:cs="仿宋_GB2312"/>
          <w:szCs w:val="21"/>
        </w:rPr>
        <w:t>发挥表率作用。领导干部</w:t>
      </w:r>
      <w:r>
        <w:rPr>
          <w:rFonts w:hint="eastAsia" w:ascii="宋体" w:hAnsi="宋体" w:eastAsia="宋体" w:cs="Times New Roman"/>
          <w:szCs w:val="21"/>
        </w:rPr>
        <w:t>勇挑重担</w:t>
      </w:r>
      <w:r>
        <w:rPr>
          <w:rFonts w:hint="eastAsia" w:ascii="宋体" w:hAnsi="宋体" w:eastAsia="宋体" w:cs="仿宋_GB2312"/>
          <w:szCs w:val="21"/>
        </w:rPr>
        <w:t>，重大任务，亲自抓、带头干，勇于挑最重的担子、啃最硬的骨头，做到重大任务亲自部署、重大方案亲自把关、关键环节亲自协调、落实情况亲自督查，敢于碰硬、敢于拍板、敢于担当，营造良好工作氛围。</w:t>
      </w:r>
      <w:r>
        <w:rPr>
          <w:rFonts w:hint="eastAsia" w:ascii="宋体" w:hAnsi="宋体" w:eastAsia="宋体" w:cs="Times New Roman"/>
          <w:szCs w:val="21"/>
        </w:rPr>
        <w:t>二是把工作做细做实。按照年度工作总体部署，细化各项工作，按照时间节点，倒排工期，一件一件抓落实。对于重点难点工作，高度重视，按照“四个干”要求，明确责任和时限，把工作做细做实。三是定期总结评估。定期召开调度会，总结成绩和经验，找出薄弱环节，做好“补短板”工作。及时召开研讨会，解决工作中存在的难点，推动工作又好又快落实。加强督促检查，对照任务、查找问题、追究责任、传导压力，确保各项工作任务按时完成 。</w:t>
      </w:r>
    </w:p>
    <w:p>
      <w:pPr>
        <w:widowControl/>
        <w:jc w:val="left"/>
        <w:rPr>
          <w:rFonts w:ascii="宋体" w:hAnsi="宋体" w:eastAsia="宋体"/>
          <w:b/>
          <w:color w:val="000000"/>
          <w:sz w:val="32"/>
        </w:rPr>
      </w:pPr>
      <w:r>
        <w:rPr>
          <w:rFonts w:ascii="宋体" w:hAnsi="宋体" w:eastAsia="宋体"/>
          <w:b/>
          <w:color w:val="000000"/>
          <w:sz w:val="32"/>
        </w:rPr>
        <w:br w:type="page"/>
      </w:r>
    </w:p>
    <w:p>
      <w:pPr>
        <w:pStyle w:val="2"/>
        <w:jc w:val="center"/>
      </w:pPr>
      <w:bookmarkStart w:id="4" w:name="_Toc60139382"/>
      <w:r>
        <w:t>预算项目绩效表</w:t>
      </w:r>
      <w:bookmarkEnd w:id="4"/>
    </w:p>
    <w:p>
      <w:pPr>
        <w:spacing w:line="480" w:lineRule="auto"/>
        <w:jc w:val="left"/>
        <w:rPr>
          <w:rFonts w:ascii="宋体" w:hAnsi="宋体" w:eastAsia="宋体"/>
          <w:b/>
          <w:color w:val="000000"/>
          <w:sz w:val="28"/>
        </w:rPr>
      </w:pPr>
      <w:r>
        <w:rPr>
          <w:rFonts w:ascii="宋体" w:hAnsi="宋体" w:eastAsia="宋体"/>
          <w:b/>
          <w:color w:val="000000"/>
          <w:sz w:val="28"/>
        </w:rPr>
        <w:t>228002 唐山市市场监督管理局</w:t>
      </w:r>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228002B20DX0001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食品安全抽检经费</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1080万元,其中：财政资金1080万元．主要用于全市辖区内的食品安全抽检工作。</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30.00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60.00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90.00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根据省局往年下达的《河北省食品安全抽检监测计划的通知》有关要求，要进一步健全风险监测、检验检测和产品追溯等技术支撑体系，健全食品全程监管机制，加强食品生产、流通和餐饮服务、食品进出口全过程质量安全控制。根据《唐山市创建食品安全城市实施方案》要求，同时按照市局《食品安全抽检监测工作实施方案》的有关要求，确保全市食品安全抽样检测数（不含快速检测）不低于</w:t>
            </w:r>
            <w:r>
              <w:rPr>
                <w:rFonts w:ascii="宋体" w:hAnsi="宋体" w:eastAsia="宋体" w:cs="宋体"/>
                <w:kern w:val="0"/>
                <w:sz w:val="24"/>
              </w:rPr>
              <w:t>5.5份/千人。</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抽检批次</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抽检批次</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13000批次</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唐政办字【</w:t>
            </w:r>
            <w:r>
              <w:rPr>
                <w:rFonts w:ascii="宋体" w:hAnsi="宋体" w:eastAsia="宋体" w:cs="宋体"/>
                <w:kern w:val="0"/>
                <w:sz w:val="24"/>
              </w:rPr>
              <w:t>2019】43号</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唐食药监监管【</w:t>
            </w:r>
            <w:r>
              <w:rPr>
                <w:rFonts w:ascii="宋体" w:hAnsi="宋体" w:eastAsia="宋体" w:cs="宋体"/>
                <w:kern w:val="0"/>
                <w:sz w:val="24"/>
              </w:rPr>
              <w:t>2016】5号</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唐食药监监管【</w:t>
            </w:r>
            <w:r>
              <w:rPr>
                <w:rFonts w:ascii="宋体" w:hAnsi="宋体" w:eastAsia="宋体" w:cs="宋体"/>
                <w:kern w:val="0"/>
                <w:sz w:val="24"/>
              </w:rPr>
              <w:t>2016】5号</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95%以上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唐食药监监管【</w:t>
            </w:r>
            <w:r>
              <w:rPr>
                <w:rFonts w:ascii="宋体" w:hAnsi="宋体" w:eastAsia="宋体" w:cs="宋体"/>
                <w:kern w:val="0"/>
                <w:sz w:val="24"/>
              </w:rPr>
              <w:t>2016】5号</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健全食品安全监测体系</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健全食品安全监测体系</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抽检数不低于</w:t>
            </w:r>
            <w:r>
              <w:rPr>
                <w:rFonts w:ascii="宋体" w:hAnsi="宋体" w:eastAsia="宋体" w:cs="宋体"/>
                <w:kern w:val="0"/>
                <w:sz w:val="24"/>
              </w:rPr>
              <w:t>5.5份/千人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唐食药监监管【</w:t>
            </w:r>
            <w:r>
              <w:rPr>
                <w:rFonts w:ascii="宋体" w:hAnsi="宋体" w:eastAsia="宋体" w:cs="宋体"/>
                <w:kern w:val="0"/>
                <w:sz w:val="24"/>
              </w:rPr>
              <w:t>2016】5号</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唐食药监监管【</w:t>
            </w:r>
            <w:r>
              <w:rPr>
                <w:rFonts w:ascii="宋体" w:hAnsi="宋体" w:eastAsia="宋体" w:cs="宋体"/>
                <w:kern w:val="0"/>
                <w:sz w:val="24"/>
              </w:rPr>
              <w:t>2016】5号</w:t>
            </w:r>
          </w:p>
        </w:tc>
      </w:tr>
    </w:tbl>
    <w:p/>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228002B20DX0002</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食品药品安全协管员补贴</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194.88万元，其中：财政资金194.88万元。主要用于对基层食品安全协管员（信息员）给予适当补贴。</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《唐山市十四届人大常委会第十八次会议对市政府《关于食品安全工作情况的专项工作报告》的审议意见和有关专题询问的意见建议》（唐人常办函字﹝</w:t>
            </w:r>
            <w:r>
              <w:rPr>
                <w:rFonts w:ascii="宋体" w:hAnsi="宋体" w:eastAsia="宋体" w:cs="宋体"/>
                <w:kern w:val="0"/>
                <w:sz w:val="24"/>
              </w:rPr>
              <w:t>2015﹞10号）中要求：要按照新的《食品安全法》规定，各级财政要安排专项资金对基层食品安全协管员（信息员）给予适当补贴，确保食品安全监管队伍的稳定性。</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补贴人员数量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补贴人员数量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2953人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年度工作计划</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补贴覆盖率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补贴覆盖率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年度工作计划</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补贴发放时限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补贴发放时限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年度工作计划</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95%</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2015】21号</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维护食品监管队伍稳定，保障食品安全。</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维护食品监管队伍稳定，保障食品安全。</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每个行政村和居民社区</w:t>
            </w:r>
            <w:r>
              <w:rPr>
                <w:rFonts w:ascii="宋体" w:hAnsi="宋体" w:eastAsia="宋体" w:cs="宋体"/>
                <w:kern w:val="0"/>
                <w:sz w:val="24"/>
              </w:rPr>
              <w:t>1名协管员（1000人以上的2人）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唐人常办函字﹝</w:t>
            </w:r>
            <w:r>
              <w:rPr>
                <w:rFonts w:ascii="宋体" w:hAnsi="宋体" w:eastAsia="宋体" w:cs="宋体"/>
                <w:kern w:val="0"/>
                <w:sz w:val="24"/>
              </w:rPr>
              <w:t>2015﹞10号</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公众对食品安全满意度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公众对食品安全满意度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唐人常办函字﹝</w:t>
            </w:r>
            <w:r>
              <w:rPr>
                <w:rFonts w:ascii="宋体" w:hAnsi="宋体" w:eastAsia="宋体" w:cs="宋体"/>
                <w:kern w:val="0"/>
                <w:sz w:val="24"/>
              </w:rPr>
              <w:t>2015﹞10号</w:t>
            </w:r>
          </w:p>
        </w:tc>
      </w:tr>
    </w:tbl>
    <w:p/>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228002B20DX0003</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市场食品安全检测试剂补贴</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我部门经预计，全市明年符合补贴条件的共</w:t>
            </w:r>
            <w:r>
              <w:rPr>
                <w:rFonts w:ascii="宋体" w:hAnsi="宋体" w:eastAsia="宋体" w:cs="宋体"/>
                <w:kern w:val="0"/>
                <w:sz w:val="24"/>
              </w:rPr>
              <w:t>102家（今年共有符合补贴条件单位94家，其中市市级示范超市6家、开发区7家每家快检室市财政补贴5万元，市本级财政配套 65万元；各区89家每家快检室市财政补贴2万元，区配套 3万元，市本级财政配套178万元；预计明年新增8符合条件的单位，共242万元。</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为贯彻落实党的十八届三中全会关于食品药品监管体制改革部署要求，加快构建统一权威的食品监管体系，全面提升省级以下食品监管机构技术支撑能力水平，对我市农产品批发</w:t>
            </w:r>
            <w:r>
              <w:rPr>
                <w:rFonts w:ascii="宋体" w:hAnsi="宋体" w:eastAsia="宋体" w:cs="宋体"/>
                <w:kern w:val="0"/>
                <w:sz w:val="24"/>
              </w:rPr>
              <w:t xml:space="preserve">   市场、农贸市场、标准化菜市场、500 平米以上大中型超市建立的 94家快检室检测试剂进行补贴，被补助快检室需具备独立空间，面积达到 8 平米以上，满足通水、通电等条件， 实现农药残留、重金属、肉类水分、瘦肉精、二氧化硫、亚硝酸盐、吊白块、苏丹红、三聚氰胺、黄曲霉素、甲醛等几十个基本项目的快速检测工作，公众开放日时免费向群众提供食品检测服务。</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补贴快检室</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补贴快检室</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102家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2020】2号</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覆盖率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“肉菜”覆盖率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2020】2号</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2020】2号</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95%</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2020】2号</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增加肉菜销售效益</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增加肉菜销售效益</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1-2%</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2020】2号</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创建放心肉菜超市</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新增放心肉菜超市</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17家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唐食安办发【</w:t>
            </w:r>
            <w:r>
              <w:rPr>
                <w:rFonts w:ascii="宋体" w:hAnsi="宋体" w:eastAsia="宋体" w:cs="宋体"/>
                <w:kern w:val="0"/>
                <w:sz w:val="24"/>
              </w:rPr>
              <w:t>2020】2号</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食品安全群众满意度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食品安全群众满意度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95%以上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唐食安办函【</w:t>
            </w:r>
            <w:r>
              <w:rPr>
                <w:rFonts w:ascii="宋体" w:hAnsi="宋体" w:eastAsia="宋体" w:cs="宋体"/>
                <w:kern w:val="0"/>
                <w:sz w:val="24"/>
              </w:rPr>
              <w:t>2019】4号</w:t>
            </w:r>
          </w:p>
        </w:tc>
      </w:tr>
    </w:tbl>
    <w:p/>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228002B20DX0004</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专利补贴</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240万元，均为财政资金。主要用于1.专利补助：同时申请发明专利的授权实用新型专利800元/件。未得到省专利资助的国内授权发明专利2500元/件。国外授权发明专利10000元/件；2.年费资助：大中型企业之外的发明专利年费从第4年起，按不超过缴纳年费的40%给予资助；3.引进资助：对企业引进市外有效发明专利，签订专利权转让合同并支付转让费的，给予每件不超过2500元资助。</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通过专利奖励、年费补助、引进外市发明专利补助的实施，能达到既保增量又稳存量的效果，使我市专利数量和质量显著提升，专利申请与授权数量同比增幅保持</w:t>
            </w:r>
            <w:r>
              <w:rPr>
                <w:rFonts w:ascii="宋体" w:hAnsi="宋体" w:eastAsia="宋体" w:cs="宋体"/>
                <w:kern w:val="0"/>
                <w:sz w:val="24"/>
              </w:rPr>
              <w:t>10%左右。万人发明专利拥有量增量保持省内领先水平。</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专利申请量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2020年度申请量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11000件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省反馈数据</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专利申请中发明专利占比</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专利申请中发明专利占比</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省反馈数据</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市局拨款文件</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市局拨款文件</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销售收入</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专利转化</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企业上报材料</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就业人数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增加就业岗位</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50人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企业上报材料</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节约成本</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节约费用</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企业上报材料</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企业上报材料</w:t>
            </w:r>
          </w:p>
        </w:tc>
      </w:tr>
    </w:tbl>
    <w:p/>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228002B20DX0005</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专利战略推进项目</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主要用于扶持企业进行知识产权贯标、知识产权保护、专利数据库建设、专利战略研究与预警分析、重大专利转化等系列工作，提升我市专利工作水平。</w:t>
            </w:r>
            <w:r>
              <w:rPr>
                <w:rFonts w:ascii="宋体" w:hAnsi="宋体" w:eastAsia="宋体" w:cs="宋体"/>
                <w:sz w:val="24"/>
              </w:rPr>
              <w:t>2021年拟在钢铁产业、装备制造业、节能环保、资源综合利用和新兴产业培育等行业安排实施企业专利战略推进项目10项，每家支持10万元，合计需财政资金100万。</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企业通过实施专利战略推进项目，企业专利创造、专利运用、专利管理、专利保护等工作水平不断提高，专利对科技创新的引领、支撑、激励、保护作用逐渐加强。</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专利战略推进资金扶持项目个数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扶持项目数量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立项文件</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立项任务书、验收证书</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立项任务书、验收证书</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市预算及拨款文件</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销售收入</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新产品销售收入</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5000万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立项任务书、验收证书</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就业人数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增加就业岗位</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立项任务书、验收证书</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节约成本</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改进方法，节能减排</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立项任务书、验收证书</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项目验收材料</w:t>
            </w:r>
          </w:p>
        </w:tc>
      </w:tr>
    </w:tbl>
    <w:p/>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228002B20DX0006</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通过国家知识产权贯标认证企业奖励</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根据中共唐山市委</w:t>
            </w:r>
            <w:r>
              <w:rPr>
                <w:rFonts w:ascii="宋体" w:hAnsi="宋体" w:eastAsia="宋体" w:cs="宋体"/>
                <w:sz w:val="24"/>
              </w:rPr>
              <w:t xml:space="preserve"> 唐山市人民政府《 关于大力发展民营经济的实施意见》 （唐发[2019]2号）文件规定：组织企业开展《企 业知识产权管理规范》国家标准贯标认证，积极申报国家知识产权优势企业，对每家贯标认证企业奖励 5 万元，对成功申报国家知识产权优势企业奖励 10 万元。根据上述政策给予唐山市成功通过国家知识产权贯标认证企业奖励。2020年成功通过国家贯标认证企业7家，每家奖励5万元；2019年成功申报国家知识产权优势企业4家，每家奖励10万元，共计75万元。</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通过国家知识产权贯标认证奖励，积极调动企业进行贯标认证主动性，制定和完善企业的各项管理制度，使知识产权的支撑作用在企业得以充分发挥，并具备了申报国家知识产权优势企业的条件。成功申报国家知识产权优势企业的具备申报国家知识产权示范企业的条件。</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国家贯标认证企业，成功申报国家知识产权优势企业</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申请通过国家贯标认证企业、成功申报国家知识产权优势企业</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11家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贯标认证合格证书及中共唐山市委</w:t>
            </w:r>
            <w:r>
              <w:rPr>
                <w:rFonts w:ascii="宋体" w:hAnsi="宋体" w:eastAsia="宋体" w:cs="宋体"/>
                <w:kern w:val="0"/>
                <w:sz w:val="24"/>
              </w:rPr>
              <w:t xml:space="preserve"> 唐山市人民政府《 关于大力发展民营经济的实施意见》 （唐发[2019]2号）文件规定</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产值收入增加</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新增产值收</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就业人数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增加就业岗位</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节能</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改进方法，节能</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申报国家示范企业数量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有申请示范企业资格</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w:t>
            </w:r>
            <w:r>
              <w:rPr>
                <w:rFonts w:ascii="宋体" w:hAnsi="宋体" w:eastAsia="宋体" w:cs="宋体"/>
                <w:kern w:val="0"/>
                <w:sz w:val="24"/>
              </w:rPr>
              <w:t>4家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贯标验收材料</w:t>
            </w:r>
          </w:p>
        </w:tc>
      </w:tr>
    </w:tbl>
    <w:p/>
    <w:p/>
    <w:p>
      <w:pPr>
        <w:spacing w:line="360" w:lineRule="auto"/>
        <w:jc w:val="left"/>
        <w:rPr>
          <w:rFonts w:ascii="宋体" w:hAnsi="宋体" w:eastAsia="宋体"/>
          <w:b/>
          <w:color w:val="000000"/>
          <w:sz w:val="28"/>
        </w:rPr>
        <w:sectPr>
          <w:footerReference r:id="rId9" w:type="default"/>
          <w:pgSz w:w="11906" w:h="16838"/>
          <w:pgMar w:top="1440" w:right="1800" w:bottom="1440" w:left="1800" w:header="851" w:footer="992" w:gutter="0"/>
          <w:pgNumType w:start="1"/>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228012 唐山市计量测试所</w:t>
      </w:r>
    </w:p>
    <w:p/>
    <w:tbl>
      <w:tblPr>
        <w:tblStyle w:val="8"/>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228012B21DX0001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计量强制检定经费</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预算数为</w:t>
            </w:r>
            <w:r>
              <w:rPr>
                <w:rFonts w:ascii="宋体" w:hAnsi="宋体" w:eastAsia="宋体" w:cs="宋体"/>
                <w:sz w:val="24"/>
              </w:rPr>
              <w:t>500万元，其中：财政资金为500万元。主要用于计量强制检定支出。</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40.00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60.00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保障计量强制检定工作正常开展，特别是量传和强检工作，涉及安全生、贸易结算、生态环保，涉及全市工农业生产和全市</w:t>
            </w:r>
            <w:r>
              <w:rPr>
                <w:rFonts w:ascii="宋体" w:hAnsi="宋体" w:eastAsia="宋体" w:cs="宋体"/>
                <w:kern w:val="0"/>
                <w:sz w:val="24"/>
              </w:rPr>
              <w:t>700多万市民的生活。</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完成强检计量器具数量台件</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全年完成数量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41万台件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检定检测率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检定结果完成率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在规定时限内完成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2021年12月底前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95%</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为社会强制鉴定计量器具数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为社会强制鉴定计量器具数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41万台件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客户满意度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客户对检定过程满意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85%以上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bl>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17</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A8A2"/>
    <w:multiLevelType w:val="singleLevel"/>
    <w:tmpl w:val="5FF6A8A2"/>
    <w:lvl w:ilvl="0" w:tentative="0">
      <w:start w:val="1"/>
      <w:numFmt w:val="chineseCounting"/>
      <w:suff w:val="nothing"/>
      <w:lvlText w:val="%1、"/>
      <w:lvlJc w:val="left"/>
    </w:lvl>
  </w:abstractNum>
  <w:abstractNum w:abstractNumId="1">
    <w:nsid w:val="5FF6C41A"/>
    <w:multiLevelType w:val="singleLevel"/>
    <w:tmpl w:val="5FF6C41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31"/>
    <w:rsid w:val="000004DC"/>
    <w:rsid w:val="00001408"/>
    <w:rsid w:val="00002E9A"/>
    <w:rsid w:val="000034A5"/>
    <w:rsid w:val="00005ED1"/>
    <w:rsid w:val="00006F0E"/>
    <w:rsid w:val="00007181"/>
    <w:rsid w:val="000075D5"/>
    <w:rsid w:val="000100BB"/>
    <w:rsid w:val="00011E71"/>
    <w:rsid w:val="000125A0"/>
    <w:rsid w:val="0001407D"/>
    <w:rsid w:val="00015166"/>
    <w:rsid w:val="0001536C"/>
    <w:rsid w:val="00015CA9"/>
    <w:rsid w:val="000166F1"/>
    <w:rsid w:val="000169E9"/>
    <w:rsid w:val="000176DC"/>
    <w:rsid w:val="00020D9E"/>
    <w:rsid w:val="00021604"/>
    <w:rsid w:val="00021BE5"/>
    <w:rsid w:val="00022148"/>
    <w:rsid w:val="00022C5F"/>
    <w:rsid w:val="00023703"/>
    <w:rsid w:val="00023A35"/>
    <w:rsid w:val="00023EF1"/>
    <w:rsid w:val="0002418C"/>
    <w:rsid w:val="00024A1F"/>
    <w:rsid w:val="0002566B"/>
    <w:rsid w:val="00025AD3"/>
    <w:rsid w:val="00025FC6"/>
    <w:rsid w:val="0003018E"/>
    <w:rsid w:val="000306D4"/>
    <w:rsid w:val="00031620"/>
    <w:rsid w:val="0003262F"/>
    <w:rsid w:val="00033B8A"/>
    <w:rsid w:val="00033F14"/>
    <w:rsid w:val="0003549A"/>
    <w:rsid w:val="000355F4"/>
    <w:rsid w:val="00037339"/>
    <w:rsid w:val="00041512"/>
    <w:rsid w:val="00041730"/>
    <w:rsid w:val="00041808"/>
    <w:rsid w:val="000418AD"/>
    <w:rsid w:val="00043458"/>
    <w:rsid w:val="0004350A"/>
    <w:rsid w:val="00046A19"/>
    <w:rsid w:val="0004778B"/>
    <w:rsid w:val="000477F5"/>
    <w:rsid w:val="0005034B"/>
    <w:rsid w:val="00051902"/>
    <w:rsid w:val="00052651"/>
    <w:rsid w:val="00053112"/>
    <w:rsid w:val="0005426D"/>
    <w:rsid w:val="0005595C"/>
    <w:rsid w:val="00055D3C"/>
    <w:rsid w:val="000567E8"/>
    <w:rsid w:val="000570F0"/>
    <w:rsid w:val="00057C21"/>
    <w:rsid w:val="00060FBA"/>
    <w:rsid w:val="0006145C"/>
    <w:rsid w:val="0006220B"/>
    <w:rsid w:val="00062254"/>
    <w:rsid w:val="00064EF2"/>
    <w:rsid w:val="0006664A"/>
    <w:rsid w:val="00066963"/>
    <w:rsid w:val="000703A2"/>
    <w:rsid w:val="00071200"/>
    <w:rsid w:val="0007257C"/>
    <w:rsid w:val="00072833"/>
    <w:rsid w:val="000729B7"/>
    <w:rsid w:val="00072EC4"/>
    <w:rsid w:val="00073FED"/>
    <w:rsid w:val="000755C9"/>
    <w:rsid w:val="00076951"/>
    <w:rsid w:val="000777D5"/>
    <w:rsid w:val="00077B7E"/>
    <w:rsid w:val="00080241"/>
    <w:rsid w:val="000805DE"/>
    <w:rsid w:val="00080B64"/>
    <w:rsid w:val="0008160F"/>
    <w:rsid w:val="00081F21"/>
    <w:rsid w:val="00087955"/>
    <w:rsid w:val="00090135"/>
    <w:rsid w:val="000908C4"/>
    <w:rsid w:val="000922A5"/>
    <w:rsid w:val="00093811"/>
    <w:rsid w:val="00094BC2"/>
    <w:rsid w:val="000951C4"/>
    <w:rsid w:val="000952E7"/>
    <w:rsid w:val="00095371"/>
    <w:rsid w:val="00095AC3"/>
    <w:rsid w:val="00096212"/>
    <w:rsid w:val="000A2264"/>
    <w:rsid w:val="000A248A"/>
    <w:rsid w:val="000A2F29"/>
    <w:rsid w:val="000A576D"/>
    <w:rsid w:val="000A5D3C"/>
    <w:rsid w:val="000A6C0E"/>
    <w:rsid w:val="000A7C58"/>
    <w:rsid w:val="000B21A4"/>
    <w:rsid w:val="000B57FA"/>
    <w:rsid w:val="000B6105"/>
    <w:rsid w:val="000B6198"/>
    <w:rsid w:val="000B78E7"/>
    <w:rsid w:val="000C3A8A"/>
    <w:rsid w:val="000C41EE"/>
    <w:rsid w:val="000C4791"/>
    <w:rsid w:val="000C47E8"/>
    <w:rsid w:val="000C4997"/>
    <w:rsid w:val="000C4F18"/>
    <w:rsid w:val="000C51FE"/>
    <w:rsid w:val="000C52DB"/>
    <w:rsid w:val="000C63E2"/>
    <w:rsid w:val="000C6A46"/>
    <w:rsid w:val="000C79FD"/>
    <w:rsid w:val="000D2D22"/>
    <w:rsid w:val="000D3497"/>
    <w:rsid w:val="000D68A6"/>
    <w:rsid w:val="000D7147"/>
    <w:rsid w:val="000D7BEF"/>
    <w:rsid w:val="000E13EA"/>
    <w:rsid w:val="000E29A5"/>
    <w:rsid w:val="000E36FD"/>
    <w:rsid w:val="000E62FC"/>
    <w:rsid w:val="000E77CD"/>
    <w:rsid w:val="000E7EF8"/>
    <w:rsid w:val="000F3EE7"/>
    <w:rsid w:val="000F4D26"/>
    <w:rsid w:val="000F5B52"/>
    <w:rsid w:val="000F6474"/>
    <w:rsid w:val="000F75BC"/>
    <w:rsid w:val="001005D5"/>
    <w:rsid w:val="00100CAC"/>
    <w:rsid w:val="00102A05"/>
    <w:rsid w:val="0010369A"/>
    <w:rsid w:val="00104B15"/>
    <w:rsid w:val="00105010"/>
    <w:rsid w:val="00105E22"/>
    <w:rsid w:val="00106E71"/>
    <w:rsid w:val="00107EE4"/>
    <w:rsid w:val="00110E57"/>
    <w:rsid w:val="00111217"/>
    <w:rsid w:val="00112D38"/>
    <w:rsid w:val="0011356F"/>
    <w:rsid w:val="001139B8"/>
    <w:rsid w:val="00114550"/>
    <w:rsid w:val="00116513"/>
    <w:rsid w:val="00116CBF"/>
    <w:rsid w:val="001200E7"/>
    <w:rsid w:val="00120FA2"/>
    <w:rsid w:val="00121CAE"/>
    <w:rsid w:val="00122095"/>
    <w:rsid w:val="00122255"/>
    <w:rsid w:val="00123B39"/>
    <w:rsid w:val="00124FDE"/>
    <w:rsid w:val="00125AAB"/>
    <w:rsid w:val="0012602F"/>
    <w:rsid w:val="00127F76"/>
    <w:rsid w:val="00130109"/>
    <w:rsid w:val="00130146"/>
    <w:rsid w:val="001304DC"/>
    <w:rsid w:val="00133FCD"/>
    <w:rsid w:val="00133FFB"/>
    <w:rsid w:val="00134A67"/>
    <w:rsid w:val="0013519D"/>
    <w:rsid w:val="0013693A"/>
    <w:rsid w:val="00137902"/>
    <w:rsid w:val="00137C44"/>
    <w:rsid w:val="00140526"/>
    <w:rsid w:val="0014257B"/>
    <w:rsid w:val="00145624"/>
    <w:rsid w:val="00145BCF"/>
    <w:rsid w:val="00145D5D"/>
    <w:rsid w:val="00146648"/>
    <w:rsid w:val="00147745"/>
    <w:rsid w:val="00150ED5"/>
    <w:rsid w:val="0015316E"/>
    <w:rsid w:val="001551A2"/>
    <w:rsid w:val="0015635D"/>
    <w:rsid w:val="001573A0"/>
    <w:rsid w:val="0016028A"/>
    <w:rsid w:val="00160B8F"/>
    <w:rsid w:val="00161B7A"/>
    <w:rsid w:val="00163977"/>
    <w:rsid w:val="0016492E"/>
    <w:rsid w:val="001649F1"/>
    <w:rsid w:val="00165EDA"/>
    <w:rsid w:val="00166BF8"/>
    <w:rsid w:val="001678B8"/>
    <w:rsid w:val="001701DB"/>
    <w:rsid w:val="001724DC"/>
    <w:rsid w:val="0017391C"/>
    <w:rsid w:val="00174830"/>
    <w:rsid w:val="0017498D"/>
    <w:rsid w:val="00176E57"/>
    <w:rsid w:val="00180840"/>
    <w:rsid w:val="001811CF"/>
    <w:rsid w:val="00181D49"/>
    <w:rsid w:val="00181E37"/>
    <w:rsid w:val="001833D2"/>
    <w:rsid w:val="001837B6"/>
    <w:rsid w:val="00184054"/>
    <w:rsid w:val="001856F7"/>
    <w:rsid w:val="00186A13"/>
    <w:rsid w:val="00191137"/>
    <w:rsid w:val="0019157F"/>
    <w:rsid w:val="001919A6"/>
    <w:rsid w:val="00191AD1"/>
    <w:rsid w:val="001925A8"/>
    <w:rsid w:val="00193C93"/>
    <w:rsid w:val="00193FA9"/>
    <w:rsid w:val="001945F9"/>
    <w:rsid w:val="0019464F"/>
    <w:rsid w:val="0019562F"/>
    <w:rsid w:val="00195BDB"/>
    <w:rsid w:val="00196B91"/>
    <w:rsid w:val="001A0278"/>
    <w:rsid w:val="001A039A"/>
    <w:rsid w:val="001A0F7B"/>
    <w:rsid w:val="001A1379"/>
    <w:rsid w:val="001A1579"/>
    <w:rsid w:val="001A1C3B"/>
    <w:rsid w:val="001A247B"/>
    <w:rsid w:val="001A309D"/>
    <w:rsid w:val="001A5A65"/>
    <w:rsid w:val="001A5B53"/>
    <w:rsid w:val="001A61EE"/>
    <w:rsid w:val="001A7082"/>
    <w:rsid w:val="001A7F32"/>
    <w:rsid w:val="001B0498"/>
    <w:rsid w:val="001B1296"/>
    <w:rsid w:val="001B23A3"/>
    <w:rsid w:val="001B2B33"/>
    <w:rsid w:val="001B302B"/>
    <w:rsid w:val="001B365F"/>
    <w:rsid w:val="001B541D"/>
    <w:rsid w:val="001B57D4"/>
    <w:rsid w:val="001B7CCB"/>
    <w:rsid w:val="001C0B75"/>
    <w:rsid w:val="001C1D5A"/>
    <w:rsid w:val="001C219B"/>
    <w:rsid w:val="001C2A32"/>
    <w:rsid w:val="001C3903"/>
    <w:rsid w:val="001C40EA"/>
    <w:rsid w:val="001C5358"/>
    <w:rsid w:val="001C573C"/>
    <w:rsid w:val="001C5C1B"/>
    <w:rsid w:val="001C5C68"/>
    <w:rsid w:val="001C66C3"/>
    <w:rsid w:val="001D0C1B"/>
    <w:rsid w:val="001D270D"/>
    <w:rsid w:val="001D287F"/>
    <w:rsid w:val="001D36EB"/>
    <w:rsid w:val="001D4A58"/>
    <w:rsid w:val="001D4E67"/>
    <w:rsid w:val="001D64DF"/>
    <w:rsid w:val="001D6C02"/>
    <w:rsid w:val="001D75A0"/>
    <w:rsid w:val="001E01CF"/>
    <w:rsid w:val="001E179B"/>
    <w:rsid w:val="001E25A1"/>
    <w:rsid w:val="001E440C"/>
    <w:rsid w:val="001E5A31"/>
    <w:rsid w:val="001E60F5"/>
    <w:rsid w:val="001E7ADB"/>
    <w:rsid w:val="001E7AF5"/>
    <w:rsid w:val="001F1278"/>
    <w:rsid w:val="001F2538"/>
    <w:rsid w:val="001F3151"/>
    <w:rsid w:val="001F3F69"/>
    <w:rsid w:val="001F4830"/>
    <w:rsid w:val="001F4B0A"/>
    <w:rsid w:val="001F6F8A"/>
    <w:rsid w:val="001F7A79"/>
    <w:rsid w:val="002006B1"/>
    <w:rsid w:val="0020076A"/>
    <w:rsid w:val="0020098E"/>
    <w:rsid w:val="00201BD8"/>
    <w:rsid w:val="002038BE"/>
    <w:rsid w:val="002038D4"/>
    <w:rsid w:val="0020462B"/>
    <w:rsid w:val="00204A9D"/>
    <w:rsid w:val="00204BB4"/>
    <w:rsid w:val="002105F0"/>
    <w:rsid w:val="00211703"/>
    <w:rsid w:val="00211D5B"/>
    <w:rsid w:val="00212E05"/>
    <w:rsid w:val="00213098"/>
    <w:rsid w:val="00213B73"/>
    <w:rsid w:val="002143DC"/>
    <w:rsid w:val="00214577"/>
    <w:rsid w:val="00216115"/>
    <w:rsid w:val="0021751B"/>
    <w:rsid w:val="00220099"/>
    <w:rsid w:val="002212C0"/>
    <w:rsid w:val="00221A7F"/>
    <w:rsid w:val="0022208B"/>
    <w:rsid w:val="0022296D"/>
    <w:rsid w:val="00222D5F"/>
    <w:rsid w:val="002233B2"/>
    <w:rsid w:val="00224B62"/>
    <w:rsid w:val="00227E6A"/>
    <w:rsid w:val="00230E35"/>
    <w:rsid w:val="00232AA4"/>
    <w:rsid w:val="00232E69"/>
    <w:rsid w:val="002337D1"/>
    <w:rsid w:val="0023420E"/>
    <w:rsid w:val="002370A2"/>
    <w:rsid w:val="0024107B"/>
    <w:rsid w:val="00242601"/>
    <w:rsid w:val="00245C54"/>
    <w:rsid w:val="002466B8"/>
    <w:rsid w:val="00247598"/>
    <w:rsid w:val="00247CC1"/>
    <w:rsid w:val="00250ED2"/>
    <w:rsid w:val="0025192C"/>
    <w:rsid w:val="00252CBA"/>
    <w:rsid w:val="002530A2"/>
    <w:rsid w:val="00254B7A"/>
    <w:rsid w:val="00255690"/>
    <w:rsid w:val="00256CD9"/>
    <w:rsid w:val="00256D75"/>
    <w:rsid w:val="00257253"/>
    <w:rsid w:val="00260BA5"/>
    <w:rsid w:val="002612A3"/>
    <w:rsid w:val="0026131B"/>
    <w:rsid w:val="00261572"/>
    <w:rsid w:val="00263035"/>
    <w:rsid w:val="002638D4"/>
    <w:rsid w:val="00266411"/>
    <w:rsid w:val="00267E8D"/>
    <w:rsid w:val="00270ABB"/>
    <w:rsid w:val="00273F47"/>
    <w:rsid w:val="0027417D"/>
    <w:rsid w:val="00275631"/>
    <w:rsid w:val="00276CB4"/>
    <w:rsid w:val="00277741"/>
    <w:rsid w:val="00280036"/>
    <w:rsid w:val="002805CA"/>
    <w:rsid w:val="0028064D"/>
    <w:rsid w:val="00280DCE"/>
    <w:rsid w:val="00281C17"/>
    <w:rsid w:val="00282490"/>
    <w:rsid w:val="00282871"/>
    <w:rsid w:val="00282F67"/>
    <w:rsid w:val="002841FA"/>
    <w:rsid w:val="00284D3C"/>
    <w:rsid w:val="00285009"/>
    <w:rsid w:val="00285D57"/>
    <w:rsid w:val="00287E80"/>
    <w:rsid w:val="00287F9A"/>
    <w:rsid w:val="00290272"/>
    <w:rsid w:val="00290FB0"/>
    <w:rsid w:val="00291EE6"/>
    <w:rsid w:val="00292DAD"/>
    <w:rsid w:val="00293420"/>
    <w:rsid w:val="0029375C"/>
    <w:rsid w:val="00294226"/>
    <w:rsid w:val="00294F70"/>
    <w:rsid w:val="0029525E"/>
    <w:rsid w:val="00295E58"/>
    <w:rsid w:val="00296526"/>
    <w:rsid w:val="00297747"/>
    <w:rsid w:val="00297770"/>
    <w:rsid w:val="002A00FB"/>
    <w:rsid w:val="002A0D7C"/>
    <w:rsid w:val="002A3874"/>
    <w:rsid w:val="002A5936"/>
    <w:rsid w:val="002A6312"/>
    <w:rsid w:val="002A6C70"/>
    <w:rsid w:val="002A6CD6"/>
    <w:rsid w:val="002A7AED"/>
    <w:rsid w:val="002B2893"/>
    <w:rsid w:val="002B2F1E"/>
    <w:rsid w:val="002B35FB"/>
    <w:rsid w:val="002B4095"/>
    <w:rsid w:val="002B4734"/>
    <w:rsid w:val="002B50E3"/>
    <w:rsid w:val="002B6FB1"/>
    <w:rsid w:val="002C16F4"/>
    <w:rsid w:val="002C3A9F"/>
    <w:rsid w:val="002C3F64"/>
    <w:rsid w:val="002C57E7"/>
    <w:rsid w:val="002C5F96"/>
    <w:rsid w:val="002C7735"/>
    <w:rsid w:val="002D1FAC"/>
    <w:rsid w:val="002D2386"/>
    <w:rsid w:val="002D3BB1"/>
    <w:rsid w:val="002D5666"/>
    <w:rsid w:val="002D5C80"/>
    <w:rsid w:val="002D614D"/>
    <w:rsid w:val="002D6383"/>
    <w:rsid w:val="002E16F0"/>
    <w:rsid w:val="002E1C31"/>
    <w:rsid w:val="002E1DAA"/>
    <w:rsid w:val="002E2974"/>
    <w:rsid w:val="002E4BC8"/>
    <w:rsid w:val="002E4DF7"/>
    <w:rsid w:val="002E5F77"/>
    <w:rsid w:val="002E6EE5"/>
    <w:rsid w:val="002E7701"/>
    <w:rsid w:val="002F24F9"/>
    <w:rsid w:val="002F577E"/>
    <w:rsid w:val="002F5ADA"/>
    <w:rsid w:val="002F5F3B"/>
    <w:rsid w:val="002F6687"/>
    <w:rsid w:val="002F6A35"/>
    <w:rsid w:val="002F77F5"/>
    <w:rsid w:val="0030053B"/>
    <w:rsid w:val="00300723"/>
    <w:rsid w:val="00300B40"/>
    <w:rsid w:val="00301F62"/>
    <w:rsid w:val="0030288D"/>
    <w:rsid w:val="00302BB0"/>
    <w:rsid w:val="00303E43"/>
    <w:rsid w:val="003041C8"/>
    <w:rsid w:val="003042F1"/>
    <w:rsid w:val="00304618"/>
    <w:rsid w:val="00304659"/>
    <w:rsid w:val="00304A2F"/>
    <w:rsid w:val="003071E2"/>
    <w:rsid w:val="003071F3"/>
    <w:rsid w:val="00311B8C"/>
    <w:rsid w:val="00311B9F"/>
    <w:rsid w:val="00312021"/>
    <w:rsid w:val="00317833"/>
    <w:rsid w:val="003204C0"/>
    <w:rsid w:val="00320B23"/>
    <w:rsid w:val="00320C4E"/>
    <w:rsid w:val="00323049"/>
    <w:rsid w:val="00323524"/>
    <w:rsid w:val="00323B84"/>
    <w:rsid w:val="00323CEC"/>
    <w:rsid w:val="003242F4"/>
    <w:rsid w:val="00324317"/>
    <w:rsid w:val="00325129"/>
    <w:rsid w:val="003257BE"/>
    <w:rsid w:val="00326FA2"/>
    <w:rsid w:val="00331527"/>
    <w:rsid w:val="00331F27"/>
    <w:rsid w:val="003328C3"/>
    <w:rsid w:val="00332B0A"/>
    <w:rsid w:val="003339BC"/>
    <w:rsid w:val="00334976"/>
    <w:rsid w:val="003350BD"/>
    <w:rsid w:val="00335527"/>
    <w:rsid w:val="00336D1E"/>
    <w:rsid w:val="0033705D"/>
    <w:rsid w:val="0033709C"/>
    <w:rsid w:val="003374FB"/>
    <w:rsid w:val="00340B39"/>
    <w:rsid w:val="003415D0"/>
    <w:rsid w:val="003415F5"/>
    <w:rsid w:val="0034182F"/>
    <w:rsid w:val="003429F0"/>
    <w:rsid w:val="003430A9"/>
    <w:rsid w:val="00343320"/>
    <w:rsid w:val="00343774"/>
    <w:rsid w:val="00343869"/>
    <w:rsid w:val="0034458E"/>
    <w:rsid w:val="00345719"/>
    <w:rsid w:val="00346269"/>
    <w:rsid w:val="00346BA7"/>
    <w:rsid w:val="003472DE"/>
    <w:rsid w:val="00347CAD"/>
    <w:rsid w:val="00350704"/>
    <w:rsid w:val="003512B8"/>
    <w:rsid w:val="003515DA"/>
    <w:rsid w:val="00351953"/>
    <w:rsid w:val="0035195E"/>
    <w:rsid w:val="003532CB"/>
    <w:rsid w:val="00355EFE"/>
    <w:rsid w:val="00355F33"/>
    <w:rsid w:val="00356495"/>
    <w:rsid w:val="003579D5"/>
    <w:rsid w:val="003607E5"/>
    <w:rsid w:val="00362262"/>
    <w:rsid w:val="0036276C"/>
    <w:rsid w:val="0036414B"/>
    <w:rsid w:val="00365440"/>
    <w:rsid w:val="00365C0C"/>
    <w:rsid w:val="00366086"/>
    <w:rsid w:val="003662C1"/>
    <w:rsid w:val="00366F7C"/>
    <w:rsid w:val="00370DCD"/>
    <w:rsid w:val="0037117F"/>
    <w:rsid w:val="0037402B"/>
    <w:rsid w:val="00374E31"/>
    <w:rsid w:val="0037527C"/>
    <w:rsid w:val="0037668B"/>
    <w:rsid w:val="00376829"/>
    <w:rsid w:val="003769CF"/>
    <w:rsid w:val="00377014"/>
    <w:rsid w:val="00377EB8"/>
    <w:rsid w:val="00380924"/>
    <w:rsid w:val="00380A91"/>
    <w:rsid w:val="00380C18"/>
    <w:rsid w:val="00381CCA"/>
    <w:rsid w:val="00382F72"/>
    <w:rsid w:val="00383C5E"/>
    <w:rsid w:val="00384221"/>
    <w:rsid w:val="00384EAE"/>
    <w:rsid w:val="003850A4"/>
    <w:rsid w:val="0038569C"/>
    <w:rsid w:val="00385AE0"/>
    <w:rsid w:val="00386A68"/>
    <w:rsid w:val="00386E8D"/>
    <w:rsid w:val="00387169"/>
    <w:rsid w:val="00390567"/>
    <w:rsid w:val="00391B7F"/>
    <w:rsid w:val="00391CA2"/>
    <w:rsid w:val="00392C4B"/>
    <w:rsid w:val="003941CB"/>
    <w:rsid w:val="003954DD"/>
    <w:rsid w:val="0039629D"/>
    <w:rsid w:val="0039778A"/>
    <w:rsid w:val="003977E7"/>
    <w:rsid w:val="003977F1"/>
    <w:rsid w:val="003A0284"/>
    <w:rsid w:val="003A057D"/>
    <w:rsid w:val="003A2F03"/>
    <w:rsid w:val="003A32C3"/>
    <w:rsid w:val="003A4680"/>
    <w:rsid w:val="003A46F8"/>
    <w:rsid w:val="003A4D97"/>
    <w:rsid w:val="003A547B"/>
    <w:rsid w:val="003A5D80"/>
    <w:rsid w:val="003A5F26"/>
    <w:rsid w:val="003B0159"/>
    <w:rsid w:val="003B0364"/>
    <w:rsid w:val="003B2164"/>
    <w:rsid w:val="003B5A4E"/>
    <w:rsid w:val="003B6E8B"/>
    <w:rsid w:val="003B6ED9"/>
    <w:rsid w:val="003C5194"/>
    <w:rsid w:val="003C53AB"/>
    <w:rsid w:val="003C5DC6"/>
    <w:rsid w:val="003C66C9"/>
    <w:rsid w:val="003C7D6E"/>
    <w:rsid w:val="003D18B7"/>
    <w:rsid w:val="003D23D0"/>
    <w:rsid w:val="003D2F76"/>
    <w:rsid w:val="003D30A0"/>
    <w:rsid w:val="003D41A6"/>
    <w:rsid w:val="003D5030"/>
    <w:rsid w:val="003D5D69"/>
    <w:rsid w:val="003D6A62"/>
    <w:rsid w:val="003D6C23"/>
    <w:rsid w:val="003E0C0C"/>
    <w:rsid w:val="003E10D6"/>
    <w:rsid w:val="003E15FF"/>
    <w:rsid w:val="003E207D"/>
    <w:rsid w:val="003E3496"/>
    <w:rsid w:val="003E4463"/>
    <w:rsid w:val="003E4485"/>
    <w:rsid w:val="003E52A6"/>
    <w:rsid w:val="003E6BB5"/>
    <w:rsid w:val="003E7D8E"/>
    <w:rsid w:val="003F1B79"/>
    <w:rsid w:val="003F1C2D"/>
    <w:rsid w:val="003F2E01"/>
    <w:rsid w:val="003F34C4"/>
    <w:rsid w:val="003F3F9E"/>
    <w:rsid w:val="003F44AC"/>
    <w:rsid w:val="003F4EC3"/>
    <w:rsid w:val="003F59FF"/>
    <w:rsid w:val="003F6476"/>
    <w:rsid w:val="003F6517"/>
    <w:rsid w:val="00400DFF"/>
    <w:rsid w:val="0040215F"/>
    <w:rsid w:val="004022D3"/>
    <w:rsid w:val="00402F9D"/>
    <w:rsid w:val="00403E6F"/>
    <w:rsid w:val="00404FE6"/>
    <w:rsid w:val="00406462"/>
    <w:rsid w:val="004106FB"/>
    <w:rsid w:val="004111AE"/>
    <w:rsid w:val="004113CF"/>
    <w:rsid w:val="00411D95"/>
    <w:rsid w:val="00413254"/>
    <w:rsid w:val="00415A07"/>
    <w:rsid w:val="00416EC8"/>
    <w:rsid w:val="00416F20"/>
    <w:rsid w:val="004172E4"/>
    <w:rsid w:val="004173DD"/>
    <w:rsid w:val="00417E64"/>
    <w:rsid w:val="0042087C"/>
    <w:rsid w:val="00420A48"/>
    <w:rsid w:val="004229C1"/>
    <w:rsid w:val="00423AC0"/>
    <w:rsid w:val="00423AD7"/>
    <w:rsid w:val="00423BDC"/>
    <w:rsid w:val="00423D85"/>
    <w:rsid w:val="004252C1"/>
    <w:rsid w:val="00425C59"/>
    <w:rsid w:val="0042627F"/>
    <w:rsid w:val="004265F4"/>
    <w:rsid w:val="004268AF"/>
    <w:rsid w:val="00426B90"/>
    <w:rsid w:val="004278F3"/>
    <w:rsid w:val="004306F1"/>
    <w:rsid w:val="004307CB"/>
    <w:rsid w:val="00431D8D"/>
    <w:rsid w:val="00432BD1"/>
    <w:rsid w:val="00432D25"/>
    <w:rsid w:val="00433417"/>
    <w:rsid w:val="00434610"/>
    <w:rsid w:val="00434DCB"/>
    <w:rsid w:val="004372DC"/>
    <w:rsid w:val="00440DE0"/>
    <w:rsid w:val="0044395F"/>
    <w:rsid w:val="00443F2F"/>
    <w:rsid w:val="00444BA6"/>
    <w:rsid w:val="00445632"/>
    <w:rsid w:val="004462A1"/>
    <w:rsid w:val="0044769D"/>
    <w:rsid w:val="004476AF"/>
    <w:rsid w:val="00447749"/>
    <w:rsid w:val="0044793D"/>
    <w:rsid w:val="0045088F"/>
    <w:rsid w:val="00453D53"/>
    <w:rsid w:val="00455567"/>
    <w:rsid w:val="004560B8"/>
    <w:rsid w:val="00456EB6"/>
    <w:rsid w:val="0046081E"/>
    <w:rsid w:val="004608F3"/>
    <w:rsid w:val="00460B1A"/>
    <w:rsid w:val="00461D7B"/>
    <w:rsid w:val="004624AB"/>
    <w:rsid w:val="004627E3"/>
    <w:rsid w:val="00462BC9"/>
    <w:rsid w:val="004633C9"/>
    <w:rsid w:val="00465776"/>
    <w:rsid w:val="00470934"/>
    <w:rsid w:val="00471A67"/>
    <w:rsid w:val="00475073"/>
    <w:rsid w:val="00475B4D"/>
    <w:rsid w:val="00476A6F"/>
    <w:rsid w:val="00477CD4"/>
    <w:rsid w:val="00481033"/>
    <w:rsid w:val="0048333A"/>
    <w:rsid w:val="004833C3"/>
    <w:rsid w:val="0048357B"/>
    <w:rsid w:val="00485435"/>
    <w:rsid w:val="004868E8"/>
    <w:rsid w:val="00491784"/>
    <w:rsid w:val="0049228C"/>
    <w:rsid w:val="00492C9F"/>
    <w:rsid w:val="00492F3F"/>
    <w:rsid w:val="00493D0B"/>
    <w:rsid w:val="00495786"/>
    <w:rsid w:val="00496F29"/>
    <w:rsid w:val="00497239"/>
    <w:rsid w:val="00497367"/>
    <w:rsid w:val="004A0855"/>
    <w:rsid w:val="004A17A9"/>
    <w:rsid w:val="004A1D59"/>
    <w:rsid w:val="004A36A2"/>
    <w:rsid w:val="004A4679"/>
    <w:rsid w:val="004A6E40"/>
    <w:rsid w:val="004A7414"/>
    <w:rsid w:val="004B017D"/>
    <w:rsid w:val="004B6B63"/>
    <w:rsid w:val="004B7872"/>
    <w:rsid w:val="004B7B6F"/>
    <w:rsid w:val="004C1B5D"/>
    <w:rsid w:val="004C225E"/>
    <w:rsid w:val="004C66E7"/>
    <w:rsid w:val="004C684D"/>
    <w:rsid w:val="004C7030"/>
    <w:rsid w:val="004C7C39"/>
    <w:rsid w:val="004D0CC8"/>
    <w:rsid w:val="004D142A"/>
    <w:rsid w:val="004D14E4"/>
    <w:rsid w:val="004D1C42"/>
    <w:rsid w:val="004D2191"/>
    <w:rsid w:val="004D3A22"/>
    <w:rsid w:val="004D3CAB"/>
    <w:rsid w:val="004D4C79"/>
    <w:rsid w:val="004D7676"/>
    <w:rsid w:val="004D7830"/>
    <w:rsid w:val="004E0354"/>
    <w:rsid w:val="004E13D1"/>
    <w:rsid w:val="004E1415"/>
    <w:rsid w:val="004E44B5"/>
    <w:rsid w:val="004E4E6A"/>
    <w:rsid w:val="004E6545"/>
    <w:rsid w:val="004E7041"/>
    <w:rsid w:val="004F0158"/>
    <w:rsid w:val="004F0F03"/>
    <w:rsid w:val="004F0F5C"/>
    <w:rsid w:val="004F1195"/>
    <w:rsid w:val="004F2612"/>
    <w:rsid w:val="004F279A"/>
    <w:rsid w:val="004F2AE6"/>
    <w:rsid w:val="004F2C14"/>
    <w:rsid w:val="004F34B9"/>
    <w:rsid w:val="004F429B"/>
    <w:rsid w:val="004F44D6"/>
    <w:rsid w:val="004F4C17"/>
    <w:rsid w:val="004F60D0"/>
    <w:rsid w:val="004F6EC0"/>
    <w:rsid w:val="004F7404"/>
    <w:rsid w:val="004F7434"/>
    <w:rsid w:val="004F7A05"/>
    <w:rsid w:val="00501376"/>
    <w:rsid w:val="005024EE"/>
    <w:rsid w:val="00502A0C"/>
    <w:rsid w:val="005031FD"/>
    <w:rsid w:val="00504F09"/>
    <w:rsid w:val="0050585E"/>
    <w:rsid w:val="005065DE"/>
    <w:rsid w:val="005101DE"/>
    <w:rsid w:val="0051040B"/>
    <w:rsid w:val="00511650"/>
    <w:rsid w:val="00511708"/>
    <w:rsid w:val="00513B5F"/>
    <w:rsid w:val="00514813"/>
    <w:rsid w:val="0052037A"/>
    <w:rsid w:val="00520E22"/>
    <w:rsid w:val="00521A07"/>
    <w:rsid w:val="00523D0A"/>
    <w:rsid w:val="00524F27"/>
    <w:rsid w:val="00527E54"/>
    <w:rsid w:val="00527FBB"/>
    <w:rsid w:val="005302AA"/>
    <w:rsid w:val="00530634"/>
    <w:rsid w:val="0053330F"/>
    <w:rsid w:val="00533641"/>
    <w:rsid w:val="0053419F"/>
    <w:rsid w:val="00534313"/>
    <w:rsid w:val="00534C7D"/>
    <w:rsid w:val="005357C0"/>
    <w:rsid w:val="00537068"/>
    <w:rsid w:val="005371DA"/>
    <w:rsid w:val="00537EBF"/>
    <w:rsid w:val="00540F1D"/>
    <w:rsid w:val="005414EF"/>
    <w:rsid w:val="0054213D"/>
    <w:rsid w:val="00542B22"/>
    <w:rsid w:val="00544B2A"/>
    <w:rsid w:val="00545064"/>
    <w:rsid w:val="00546245"/>
    <w:rsid w:val="00546C1F"/>
    <w:rsid w:val="00547727"/>
    <w:rsid w:val="00547954"/>
    <w:rsid w:val="00547991"/>
    <w:rsid w:val="0055099F"/>
    <w:rsid w:val="005509D8"/>
    <w:rsid w:val="00551321"/>
    <w:rsid w:val="00551432"/>
    <w:rsid w:val="005537C8"/>
    <w:rsid w:val="0055417A"/>
    <w:rsid w:val="005564BE"/>
    <w:rsid w:val="00562D30"/>
    <w:rsid w:val="005660C3"/>
    <w:rsid w:val="00566952"/>
    <w:rsid w:val="00566A12"/>
    <w:rsid w:val="00566CED"/>
    <w:rsid w:val="00567E18"/>
    <w:rsid w:val="00571A33"/>
    <w:rsid w:val="00571B7E"/>
    <w:rsid w:val="00571DA4"/>
    <w:rsid w:val="005734E3"/>
    <w:rsid w:val="00573869"/>
    <w:rsid w:val="00573944"/>
    <w:rsid w:val="005767DB"/>
    <w:rsid w:val="00576EAE"/>
    <w:rsid w:val="00577041"/>
    <w:rsid w:val="00581D87"/>
    <w:rsid w:val="005828E4"/>
    <w:rsid w:val="00583884"/>
    <w:rsid w:val="00583A57"/>
    <w:rsid w:val="00584D22"/>
    <w:rsid w:val="005866D0"/>
    <w:rsid w:val="005920CC"/>
    <w:rsid w:val="00592570"/>
    <w:rsid w:val="00593319"/>
    <w:rsid w:val="00593F15"/>
    <w:rsid w:val="00594727"/>
    <w:rsid w:val="00595154"/>
    <w:rsid w:val="005958C9"/>
    <w:rsid w:val="00596BC6"/>
    <w:rsid w:val="00596D63"/>
    <w:rsid w:val="005972A6"/>
    <w:rsid w:val="00597D5D"/>
    <w:rsid w:val="005A1664"/>
    <w:rsid w:val="005A1EA5"/>
    <w:rsid w:val="005A22B5"/>
    <w:rsid w:val="005A23F8"/>
    <w:rsid w:val="005A2CB7"/>
    <w:rsid w:val="005A3181"/>
    <w:rsid w:val="005A40A8"/>
    <w:rsid w:val="005A568A"/>
    <w:rsid w:val="005A7D69"/>
    <w:rsid w:val="005B13B0"/>
    <w:rsid w:val="005B398F"/>
    <w:rsid w:val="005B39EE"/>
    <w:rsid w:val="005B6E4E"/>
    <w:rsid w:val="005B75F8"/>
    <w:rsid w:val="005B7BA9"/>
    <w:rsid w:val="005B7BF1"/>
    <w:rsid w:val="005C0608"/>
    <w:rsid w:val="005C1E3C"/>
    <w:rsid w:val="005C256E"/>
    <w:rsid w:val="005C43E7"/>
    <w:rsid w:val="005C46C6"/>
    <w:rsid w:val="005C515A"/>
    <w:rsid w:val="005C57D0"/>
    <w:rsid w:val="005C628F"/>
    <w:rsid w:val="005C6412"/>
    <w:rsid w:val="005C7ABB"/>
    <w:rsid w:val="005D1763"/>
    <w:rsid w:val="005D1823"/>
    <w:rsid w:val="005D2665"/>
    <w:rsid w:val="005D3665"/>
    <w:rsid w:val="005E2E27"/>
    <w:rsid w:val="005E5227"/>
    <w:rsid w:val="005E6C00"/>
    <w:rsid w:val="005E6D44"/>
    <w:rsid w:val="005E772B"/>
    <w:rsid w:val="005F1179"/>
    <w:rsid w:val="005F3274"/>
    <w:rsid w:val="005F58C8"/>
    <w:rsid w:val="005F61A9"/>
    <w:rsid w:val="005F7FBD"/>
    <w:rsid w:val="0060066F"/>
    <w:rsid w:val="00601047"/>
    <w:rsid w:val="006019B5"/>
    <w:rsid w:val="00602B53"/>
    <w:rsid w:val="00603DF8"/>
    <w:rsid w:val="00604D58"/>
    <w:rsid w:val="006063C3"/>
    <w:rsid w:val="00606797"/>
    <w:rsid w:val="0061009F"/>
    <w:rsid w:val="00610BF0"/>
    <w:rsid w:val="006122E7"/>
    <w:rsid w:val="006128EE"/>
    <w:rsid w:val="00612E15"/>
    <w:rsid w:val="00615476"/>
    <w:rsid w:val="0061549B"/>
    <w:rsid w:val="00615918"/>
    <w:rsid w:val="00617D22"/>
    <w:rsid w:val="00617DFE"/>
    <w:rsid w:val="006201D6"/>
    <w:rsid w:val="0062093C"/>
    <w:rsid w:val="00621FE6"/>
    <w:rsid w:val="006228F5"/>
    <w:rsid w:val="00622A20"/>
    <w:rsid w:val="00623BF6"/>
    <w:rsid w:val="0062457D"/>
    <w:rsid w:val="00624BC8"/>
    <w:rsid w:val="00625723"/>
    <w:rsid w:val="0062598E"/>
    <w:rsid w:val="00626D05"/>
    <w:rsid w:val="00630133"/>
    <w:rsid w:val="0063069B"/>
    <w:rsid w:val="00630909"/>
    <w:rsid w:val="006315DE"/>
    <w:rsid w:val="006318E5"/>
    <w:rsid w:val="00632367"/>
    <w:rsid w:val="00633827"/>
    <w:rsid w:val="00634740"/>
    <w:rsid w:val="00634A20"/>
    <w:rsid w:val="0063562B"/>
    <w:rsid w:val="00635968"/>
    <w:rsid w:val="00635B3B"/>
    <w:rsid w:val="00640288"/>
    <w:rsid w:val="00640A82"/>
    <w:rsid w:val="00641E99"/>
    <w:rsid w:val="00642999"/>
    <w:rsid w:val="0064376E"/>
    <w:rsid w:val="00644177"/>
    <w:rsid w:val="006455B3"/>
    <w:rsid w:val="00646DB8"/>
    <w:rsid w:val="00650479"/>
    <w:rsid w:val="00650DA4"/>
    <w:rsid w:val="00651528"/>
    <w:rsid w:val="00652A4B"/>
    <w:rsid w:val="00653D0C"/>
    <w:rsid w:val="00654287"/>
    <w:rsid w:val="006553F5"/>
    <w:rsid w:val="0065555D"/>
    <w:rsid w:val="00655E71"/>
    <w:rsid w:val="006560C6"/>
    <w:rsid w:val="00656763"/>
    <w:rsid w:val="00657319"/>
    <w:rsid w:val="00660306"/>
    <w:rsid w:val="00660EF5"/>
    <w:rsid w:val="00660F14"/>
    <w:rsid w:val="00660FD9"/>
    <w:rsid w:val="00662E42"/>
    <w:rsid w:val="00662F99"/>
    <w:rsid w:val="0066428C"/>
    <w:rsid w:val="0066541D"/>
    <w:rsid w:val="00667E59"/>
    <w:rsid w:val="0067091A"/>
    <w:rsid w:val="006717DA"/>
    <w:rsid w:val="00675213"/>
    <w:rsid w:val="00675818"/>
    <w:rsid w:val="0067598E"/>
    <w:rsid w:val="00681790"/>
    <w:rsid w:val="00682268"/>
    <w:rsid w:val="006831F4"/>
    <w:rsid w:val="0068321D"/>
    <w:rsid w:val="00683947"/>
    <w:rsid w:val="00683E5D"/>
    <w:rsid w:val="00684004"/>
    <w:rsid w:val="00684436"/>
    <w:rsid w:val="0068532D"/>
    <w:rsid w:val="00685A57"/>
    <w:rsid w:val="006866A8"/>
    <w:rsid w:val="00687395"/>
    <w:rsid w:val="0068799F"/>
    <w:rsid w:val="00687A49"/>
    <w:rsid w:val="00687F47"/>
    <w:rsid w:val="0069040A"/>
    <w:rsid w:val="00690D62"/>
    <w:rsid w:val="00690E09"/>
    <w:rsid w:val="0069101F"/>
    <w:rsid w:val="0069198F"/>
    <w:rsid w:val="006943B3"/>
    <w:rsid w:val="00694546"/>
    <w:rsid w:val="006949C4"/>
    <w:rsid w:val="00694C67"/>
    <w:rsid w:val="00696267"/>
    <w:rsid w:val="00696C1D"/>
    <w:rsid w:val="0069708B"/>
    <w:rsid w:val="006A051A"/>
    <w:rsid w:val="006A0935"/>
    <w:rsid w:val="006A0DE7"/>
    <w:rsid w:val="006A1A9A"/>
    <w:rsid w:val="006A1AFA"/>
    <w:rsid w:val="006A2601"/>
    <w:rsid w:val="006A364F"/>
    <w:rsid w:val="006A3D39"/>
    <w:rsid w:val="006A5BFA"/>
    <w:rsid w:val="006A5C98"/>
    <w:rsid w:val="006A6C66"/>
    <w:rsid w:val="006B00AA"/>
    <w:rsid w:val="006B0E16"/>
    <w:rsid w:val="006B41C4"/>
    <w:rsid w:val="006B515A"/>
    <w:rsid w:val="006B556B"/>
    <w:rsid w:val="006B6146"/>
    <w:rsid w:val="006B6389"/>
    <w:rsid w:val="006B7E93"/>
    <w:rsid w:val="006C10C8"/>
    <w:rsid w:val="006C36B7"/>
    <w:rsid w:val="006C3B07"/>
    <w:rsid w:val="006C40F8"/>
    <w:rsid w:val="006C4562"/>
    <w:rsid w:val="006C4B15"/>
    <w:rsid w:val="006C4F30"/>
    <w:rsid w:val="006C543A"/>
    <w:rsid w:val="006C5703"/>
    <w:rsid w:val="006C752E"/>
    <w:rsid w:val="006C76DE"/>
    <w:rsid w:val="006D0583"/>
    <w:rsid w:val="006D0ACB"/>
    <w:rsid w:val="006D136A"/>
    <w:rsid w:val="006D1723"/>
    <w:rsid w:val="006D1DE5"/>
    <w:rsid w:val="006D46A1"/>
    <w:rsid w:val="006D4C38"/>
    <w:rsid w:val="006D661C"/>
    <w:rsid w:val="006D682E"/>
    <w:rsid w:val="006E03B9"/>
    <w:rsid w:val="006E0451"/>
    <w:rsid w:val="006E32A4"/>
    <w:rsid w:val="006E4B2F"/>
    <w:rsid w:val="006E57BF"/>
    <w:rsid w:val="006E59FC"/>
    <w:rsid w:val="006E5F4B"/>
    <w:rsid w:val="006E70AE"/>
    <w:rsid w:val="006F06FC"/>
    <w:rsid w:val="006F2640"/>
    <w:rsid w:val="006F28A5"/>
    <w:rsid w:val="006F3994"/>
    <w:rsid w:val="006F56EF"/>
    <w:rsid w:val="006F575D"/>
    <w:rsid w:val="006F5F76"/>
    <w:rsid w:val="006F6392"/>
    <w:rsid w:val="006F67FE"/>
    <w:rsid w:val="006F6888"/>
    <w:rsid w:val="006F786A"/>
    <w:rsid w:val="007007A4"/>
    <w:rsid w:val="00700DF4"/>
    <w:rsid w:val="00702AB5"/>
    <w:rsid w:val="00703BDB"/>
    <w:rsid w:val="007049C5"/>
    <w:rsid w:val="00704DD9"/>
    <w:rsid w:val="00705583"/>
    <w:rsid w:val="00705C76"/>
    <w:rsid w:val="007077FD"/>
    <w:rsid w:val="00711FAF"/>
    <w:rsid w:val="00712573"/>
    <w:rsid w:val="00712CD7"/>
    <w:rsid w:val="00712FCE"/>
    <w:rsid w:val="007130E9"/>
    <w:rsid w:val="007136FA"/>
    <w:rsid w:val="007139BB"/>
    <w:rsid w:val="00714E6F"/>
    <w:rsid w:val="00716B0E"/>
    <w:rsid w:val="00720C0E"/>
    <w:rsid w:val="00721937"/>
    <w:rsid w:val="007236FB"/>
    <w:rsid w:val="00724B7F"/>
    <w:rsid w:val="00724C66"/>
    <w:rsid w:val="00726CE6"/>
    <w:rsid w:val="0073014E"/>
    <w:rsid w:val="007306C7"/>
    <w:rsid w:val="00730BCC"/>
    <w:rsid w:val="00731EAF"/>
    <w:rsid w:val="00732398"/>
    <w:rsid w:val="00735CA1"/>
    <w:rsid w:val="007379ED"/>
    <w:rsid w:val="007417CF"/>
    <w:rsid w:val="0074322E"/>
    <w:rsid w:val="00743519"/>
    <w:rsid w:val="0074455D"/>
    <w:rsid w:val="00746A35"/>
    <w:rsid w:val="007475BC"/>
    <w:rsid w:val="00747DE9"/>
    <w:rsid w:val="0075196E"/>
    <w:rsid w:val="00754A31"/>
    <w:rsid w:val="00754E28"/>
    <w:rsid w:val="0075530C"/>
    <w:rsid w:val="00755796"/>
    <w:rsid w:val="007566B9"/>
    <w:rsid w:val="00760290"/>
    <w:rsid w:val="00761191"/>
    <w:rsid w:val="00761BB7"/>
    <w:rsid w:val="0076335A"/>
    <w:rsid w:val="00764231"/>
    <w:rsid w:val="0076564C"/>
    <w:rsid w:val="00765F60"/>
    <w:rsid w:val="00767AC3"/>
    <w:rsid w:val="00770057"/>
    <w:rsid w:val="00771A9E"/>
    <w:rsid w:val="00772CA9"/>
    <w:rsid w:val="00772FE8"/>
    <w:rsid w:val="00773B51"/>
    <w:rsid w:val="00774984"/>
    <w:rsid w:val="0077594D"/>
    <w:rsid w:val="00776135"/>
    <w:rsid w:val="0077692D"/>
    <w:rsid w:val="00776AEF"/>
    <w:rsid w:val="00776C1D"/>
    <w:rsid w:val="00780B44"/>
    <w:rsid w:val="007810F5"/>
    <w:rsid w:val="007812B8"/>
    <w:rsid w:val="00783C03"/>
    <w:rsid w:val="0078445C"/>
    <w:rsid w:val="00785265"/>
    <w:rsid w:val="0078535D"/>
    <w:rsid w:val="00786FCC"/>
    <w:rsid w:val="00791603"/>
    <w:rsid w:val="00792915"/>
    <w:rsid w:val="007934BA"/>
    <w:rsid w:val="00795C5B"/>
    <w:rsid w:val="0079646D"/>
    <w:rsid w:val="00797051"/>
    <w:rsid w:val="00797837"/>
    <w:rsid w:val="0079783B"/>
    <w:rsid w:val="007A0CBA"/>
    <w:rsid w:val="007A2E9D"/>
    <w:rsid w:val="007A3A95"/>
    <w:rsid w:val="007A4042"/>
    <w:rsid w:val="007A4A2F"/>
    <w:rsid w:val="007A5310"/>
    <w:rsid w:val="007A7831"/>
    <w:rsid w:val="007A7ADF"/>
    <w:rsid w:val="007B200D"/>
    <w:rsid w:val="007B2033"/>
    <w:rsid w:val="007B25A3"/>
    <w:rsid w:val="007B3726"/>
    <w:rsid w:val="007B3B41"/>
    <w:rsid w:val="007B5544"/>
    <w:rsid w:val="007B7D10"/>
    <w:rsid w:val="007C0076"/>
    <w:rsid w:val="007C17CB"/>
    <w:rsid w:val="007C1A87"/>
    <w:rsid w:val="007C2C7B"/>
    <w:rsid w:val="007C31B4"/>
    <w:rsid w:val="007C3A16"/>
    <w:rsid w:val="007C3BB6"/>
    <w:rsid w:val="007C3C30"/>
    <w:rsid w:val="007C3D33"/>
    <w:rsid w:val="007C40FE"/>
    <w:rsid w:val="007C510A"/>
    <w:rsid w:val="007C5C5E"/>
    <w:rsid w:val="007C6C68"/>
    <w:rsid w:val="007C7280"/>
    <w:rsid w:val="007C78B8"/>
    <w:rsid w:val="007C7D61"/>
    <w:rsid w:val="007D0CDE"/>
    <w:rsid w:val="007D1BC1"/>
    <w:rsid w:val="007D26F1"/>
    <w:rsid w:val="007D3152"/>
    <w:rsid w:val="007D3E01"/>
    <w:rsid w:val="007D44A6"/>
    <w:rsid w:val="007D610D"/>
    <w:rsid w:val="007D6968"/>
    <w:rsid w:val="007E4231"/>
    <w:rsid w:val="007E45EA"/>
    <w:rsid w:val="007E4972"/>
    <w:rsid w:val="007E5872"/>
    <w:rsid w:val="007E5BBA"/>
    <w:rsid w:val="007E6D18"/>
    <w:rsid w:val="007E6E55"/>
    <w:rsid w:val="007E7E45"/>
    <w:rsid w:val="007E7FB4"/>
    <w:rsid w:val="007F12C7"/>
    <w:rsid w:val="007F39E6"/>
    <w:rsid w:val="007F556C"/>
    <w:rsid w:val="007F6AD0"/>
    <w:rsid w:val="007F707D"/>
    <w:rsid w:val="007F7338"/>
    <w:rsid w:val="007F78F8"/>
    <w:rsid w:val="00801CC5"/>
    <w:rsid w:val="00801E26"/>
    <w:rsid w:val="00801ED9"/>
    <w:rsid w:val="00802A74"/>
    <w:rsid w:val="00802BED"/>
    <w:rsid w:val="00803E12"/>
    <w:rsid w:val="00805F2C"/>
    <w:rsid w:val="00806B2C"/>
    <w:rsid w:val="00806C81"/>
    <w:rsid w:val="008104FE"/>
    <w:rsid w:val="00812C0E"/>
    <w:rsid w:val="00813167"/>
    <w:rsid w:val="008151D3"/>
    <w:rsid w:val="00815B4D"/>
    <w:rsid w:val="00816734"/>
    <w:rsid w:val="00817181"/>
    <w:rsid w:val="008206B8"/>
    <w:rsid w:val="008210D6"/>
    <w:rsid w:val="00822AAD"/>
    <w:rsid w:val="00822D86"/>
    <w:rsid w:val="00823757"/>
    <w:rsid w:val="0082450A"/>
    <w:rsid w:val="00825791"/>
    <w:rsid w:val="008270B2"/>
    <w:rsid w:val="0082719B"/>
    <w:rsid w:val="00830A57"/>
    <w:rsid w:val="00832BE9"/>
    <w:rsid w:val="008332B3"/>
    <w:rsid w:val="00834040"/>
    <w:rsid w:val="008345E5"/>
    <w:rsid w:val="00834944"/>
    <w:rsid w:val="0083545A"/>
    <w:rsid w:val="0083736B"/>
    <w:rsid w:val="00837A16"/>
    <w:rsid w:val="00842FD2"/>
    <w:rsid w:val="00843709"/>
    <w:rsid w:val="008440BB"/>
    <w:rsid w:val="008448D7"/>
    <w:rsid w:val="00846335"/>
    <w:rsid w:val="00846863"/>
    <w:rsid w:val="0084782F"/>
    <w:rsid w:val="0084798D"/>
    <w:rsid w:val="00847ADC"/>
    <w:rsid w:val="00850C29"/>
    <w:rsid w:val="00851BA5"/>
    <w:rsid w:val="00852D32"/>
    <w:rsid w:val="00853C27"/>
    <w:rsid w:val="00855033"/>
    <w:rsid w:val="00855563"/>
    <w:rsid w:val="00855A0E"/>
    <w:rsid w:val="0085622C"/>
    <w:rsid w:val="008564AC"/>
    <w:rsid w:val="00856BAB"/>
    <w:rsid w:val="008618F7"/>
    <w:rsid w:val="008620A8"/>
    <w:rsid w:val="00862859"/>
    <w:rsid w:val="00862CCF"/>
    <w:rsid w:val="00865424"/>
    <w:rsid w:val="008657D5"/>
    <w:rsid w:val="00865925"/>
    <w:rsid w:val="0086761D"/>
    <w:rsid w:val="0086776C"/>
    <w:rsid w:val="00867D2F"/>
    <w:rsid w:val="008701FB"/>
    <w:rsid w:val="00872899"/>
    <w:rsid w:val="00873F4D"/>
    <w:rsid w:val="00877E86"/>
    <w:rsid w:val="008805B6"/>
    <w:rsid w:val="00880CD7"/>
    <w:rsid w:val="00880E06"/>
    <w:rsid w:val="00881A15"/>
    <w:rsid w:val="008850C2"/>
    <w:rsid w:val="00885E32"/>
    <w:rsid w:val="008867A0"/>
    <w:rsid w:val="00887AAF"/>
    <w:rsid w:val="00890402"/>
    <w:rsid w:val="008915E7"/>
    <w:rsid w:val="00891ACF"/>
    <w:rsid w:val="00891D5A"/>
    <w:rsid w:val="00892360"/>
    <w:rsid w:val="008934B8"/>
    <w:rsid w:val="00896087"/>
    <w:rsid w:val="0089619C"/>
    <w:rsid w:val="00896E68"/>
    <w:rsid w:val="008974E5"/>
    <w:rsid w:val="008A1431"/>
    <w:rsid w:val="008A38D6"/>
    <w:rsid w:val="008A4307"/>
    <w:rsid w:val="008A471F"/>
    <w:rsid w:val="008A60CB"/>
    <w:rsid w:val="008A62CD"/>
    <w:rsid w:val="008B018C"/>
    <w:rsid w:val="008B15DB"/>
    <w:rsid w:val="008B396D"/>
    <w:rsid w:val="008B40BB"/>
    <w:rsid w:val="008B40C4"/>
    <w:rsid w:val="008B448B"/>
    <w:rsid w:val="008B4E71"/>
    <w:rsid w:val="008B5B1D"/>
    <w:rsid w:val="008C0A82"/>
    <w:rsid w:val="008C1CAF"/>
    <w:rsid w:val="008C23BE"/>
    <w:rsid w:val="008C2F14"/>
    <w:rsid w:val="008C3A30"/>
    <w:rsid w:val="008C5EDF"/>
    <w:rsid w:val="008C7BAF"/>
    <w:rsid w:val="008D06BC"/>
    <w:rsid w:val="008D0C77"/>
    <w:rsid w:val="008D0E3A"/>
    <w:rsid w:val="008D257F"/>
    <w:rsid w:val="008D2D19"/>
    <w:rsid w:val="008D3193"/>
    <w:rsid w:val="008D3291"/>
    <w:rsid w:val="008D40B8"/>
    <w:rsid w:val="008D49A8"/>
    <w:rsid w:val="008D698F"/>
    <w:rsid w:val="008D6DA9"/>
    <w:rsid w:val="008D6F90"/>
    <w:rsid w:val="008D70A9"/>
    <w:rsid w:val="008E0846"/>
    <w:rsid w:val="008E1316"/>
    <w:rsid w:val="008E242A"/>
    <w:rsid w:val="008E325E"/>
    <w:rsid w:val="008E3E75"/>
    <w:rsid w:val="008E526E"/>
    <w:rsid w:val="008E5468"/>
    <w:rsid w:val="008E6148"/>
    <w:rsid w:val="008E688E"/>
    <w:rsid w:val="008F06BA"/>
    <w:rsid w:val="008F269B"/>
    <w:rsid w:val="008F51A3"/>
    <w:rsid w:val="00901BD0"/>
    <w:rsid w:val="009020B7"/>
    <w:rsid w:val="00902F8F"/>
    <w:rsid w:val="00903D69"/>
    <w:rsid w:val="009049EA"/>
    <w:rsid w:val="00905165"/>
    <w:rsid w:val="00907E63"/>
    <w:rsid w:val="00907E9C"/>
    <w:rsid w:val="009102D5"/>
    <w:rsid w:val="009107D4"/>
    <w:rsid w:val="00910C95"/>
    <w:rsid w:val="00912276"/>
    <w:rsid w:val="00913B45"/>
    <w:rsid w:val="00914AF6"/>
    <w:rsid w:val="00914EED"/>
    <w:rsid w:val="00915F54"/>
    <w:rsid w:val="009165CE"/>
    <w:rsid w:val="009207DD"/>
    <w:rsid w:val="00920DE1"/>
    <w:rsid w:val="00920F7D"/>
    <w:rsid w:val="00921344"/>
    <w:rsid w:val="00921609"/>
    <w:rsid w:val="00921964"/>
    <w:rsid w:val="00922516"/>
    <w:rsid w:val="009232D5"/>
    <w:rsid w:val="0092754D"/>
    <w:rsid w:val="0093285C"/>
    <w:rsid w:val="00933D0E"/>
    <w:rsid w:val="00933F3E"/>
    <w:rsid w:val="0093576C"/>
    <w:rsid w:val="00935919"/>
    <w:rsid w:val="009365A5"/>
    <w:rsid w:val="00936C2D"/>
    <w:rsid w:val="00940517"/>
    <w:rsid w:val="00941DCD"/>
    <w:rsid w:val="00943A32"/>
    <w:rsid w:val="009452C9"/>
    <w:rsid w:val="009467CF"/>
    <w:rsid w:val="00952040"/>
    <w:rsid w:val="00952D94"/>
    <w:rsid w:val="009537F5"/>
    <w:rsid w:val="00955366"/>
    <w:rsid w:val="00955D4F"/>
    <w:rsid w:val="009566DE"/>
    <w:rsid w:val="00956B30"/>
    <w:rsid w:val="0095730A"/>
    <w:rsid w:val="009574EB"/>
    <w:rsid w:val="0096086F"/>
    <w:rsid w:val="0096142D"/>
    <w:rsid w:val="00961D66"/>
    <w:rsid w:val="00962580"/>
    <w:rsid w:val="0096264C"/>
    <w:rsid w:val="00962FEB"/>
    <w:rsid w:val="00963119"/>
    <w:rsid w:val="00964D47"/>
    <w:rsid w:val="00964E59"/>
    <w:rsid w:val="009675EB"/>
    <w:rsid w:val="00970AB9"/>
    <w:rsid w:val="00971432"/>
    <w:rsid w:val="00972819"/>
    <w:rsid w:val="009741FE"/>
    <w:rsid w:val="009742FF"/>
    <w:rsid w:val="00974577"/>
    <w:rsid w:val="00974A1C"/>
    <w:rsid w:val="00974C5E"/>
    <w:rsid w:val="009755C4"/>
    <w:rsid w:val="00975DE8"/>
    <w:rsid w:val="00980477"/>
    <w:rsid w:val="00980BBB"/>
    <w:rsid w:val="00981705"/>
    <w:rsid w:val="00984869"/>
    <w:rsid w:val="00985233"/>
    <w:rsid w:val="00985377"/>
    <w:rsid w:val="00985BC6"/>
    <w:rsid w:val="00985D07"/>
    <w:rsid w:val="00986F4B"/>
    <w:rsid w:val="00987D03"/>
    <w:rsid w:val="00987EC4"/>
    <w:rsid w:val="00991559"/>
    <w:rsid w:val="00992F2C"/>
    <w:rsid w:val="00993FE9"/>
    <w:rsid w:val="00994A9D"/>
    <w:rsid w:val="009955E1"/>
    <w:rsid w:val="00995A4E"/>
    <w:rsid w:val="009A14BF"/>
    <w:rsid w:val="009A1EA4"/>
    <w:rsid w:val="009A29BC"/>
    <w:rsid w:val="009A2EAE"/>
    <w:rsid w:val="009A4E2E"/>
    <w:rsid w:val="009A53F7"/>
    <w:rsid w:val="009A54D1"/>
    <w:rsid w:val="009A6A7F"/>
    <w:rsid w:val="009A6C6F"/>
    <w:rsid w:val="009A7873"/>
    <w:rsid w:val="009B04A8"/>
    <w:rsid w:val="009B11E8"/>
    <w:rsid w:val="009B26FA"/>
    <w:rsid w:val="009B3104"/>
    <w:rsid w:val="009B3D72"/>
    <w:rsid w:val="009B4216"/>
    <w:rsid w:val="009B685C"/>
    <w:rsid w:val="009B6C78"/>
    <w:rsid w:val="009B6FE4"/>
    <w:rsid w:val="009B73B6"/>
    <w:rsid w:val="009B7D0E"/>
    <w:rsid w:val="009C038D"/>
    <w:rsid w:val="009C0BEA"/>
    <w:rsid w:val="009C1C54"/>
    <w:rsid w:val="009C3E46"/>
    <w:rsid w:val="009C4AA2"/>
    <w:rsid w:val="009C57F2"/>
    <w:rsid w:val="009C7C91"/>
    <w:rsid w:val="009D2EB3"/>
    <w:rsid w:val="009D3BC6"/>
    <w:rsid w:val="009D4CCA"/>
    <w:rsid w:val="009D4F72"/>
    <w:rsid w:val="009D58AA"/>
    <w:rsid w:val="009E02A8"/>
    <w:rsid w:val="009E1531"/>
    <w:rsid w:val="009E1850"/>
    <w:rsid w:val="009E2220"/>
    <w:rsid w:val="009E2E44"/>
    <w:rsid w:val="009E366F"/>
    <w:rsid w:val="009E3F6A"/>
    <w:rsid w:val="009E4EBA"/>
    <w:rsid w:val="009E59D4"/>
    <w:rsid w:val="009E75DE"/>
    <w:rsid w:val="009E7B33"/>
    <w:rsid w:val="009F01D3"/>
    <w:rsid w:val="009F09EE"/>
    <w:rsid w:val="009F147F"/>
    <w:rsid w:val="009F1F2B"/>
    <w:rsid w:val="009F52A4"/>
    <w:rsid w:val="009F64B3"/>
    <w:rsid w:val="009F6634"/>
    <w:rsid w:val="009F6E41"/>
    <w:rsid w:val="009F7616"/>
    <w:rsid w:val="009F7F2A"/>
    <w:rsid w:val="00A024F3"/>
    <w:rsid w:val="00A02A1F"/>
    <w:rsid w:val="00A03ABC"/>
    <w:rsid w:val="00A062EF"/>
    <w:rsid w:val="00A072E2"/>
    <w:rsid w:val="00A105BB"/>
    <w:rsid w:val="00A11751"/>
    <w:rsid w:val="00A11A0E"/>
    <w:rsid w:val="00A13212"/>
    <w:rsid w:val="00A13349"/>
    <w:rsid w:val="00A1589E"/>
    <w:rsid w:val="00A172D1"/>
    <w:rsid w:val="00A17B20"/>
    <w:rsid w:val="00A200B9"/>
    <w:rsid w:val="00A20B0C"/>
    <w:rsid w:val="00A218D8"/>
    <w:rsid w:val="00A220EF"/>
    <w:rsid w:val="00A2220B"/>
    <w:rsid w:val="00A222EC"/>
    <w:rsid w:val="00A22595"/>
    <w:rsid w:val="00A22930"/>
    <w:rsid w:val="00A22D0D"/>
    <w:rsid w:val="00A239DC"/>
    <w:rsid w:val="00A2600D"/>
    <w:rsid w:val="00A262B2"/>
    <w:rsid w:val="00A2631D"/>
    <w:rsid w:val="00A272EF"/>
    <w:rsid w:val="00A30A34"/>
    <w:rsid w:val="00A3295E"/>
    <w:rsid w:val="00A3369B"/>
    <w:rsid w:val="00A34EBF"/>
    <w:rsid w:val="00A35CAB"/>
    <w:rsid w:val="00A35E3B"/>
    <w:rsid w:val="00A37606"/>
    <w:rsid w:val="00A379D9"/>
    <w:rsid w:val="00A40D59"/>
    <w:rsid w:val="00A416B7"/>
    <w:rsid w:val="00A4203A"/>
    <w:rsid w:val="00A42D66"/>
    <w:rsid w:val="00A439EA"/>
    <w:rsid w:val="00A46CAA"/>
    <w:rsid w:val="00A47AE7"/>
    <w:rsid w:val="00A47C90"/>
    <w:rsid w:val="00A505E7"/>
    <w:rsid w:val="00A51282"/>
    <w:rsid w:val="00A5188B"/>
    <w:rsid w:val="00A51B26"/>
    <w:rsid w:val="00A537F6"/>
    <w:rsid w:val="00A5401F"/>
    <w:rsid w:val="00A54EFB"/>
    <w:rsid w:val="00A558C3"/>
    <w:rsid w:val="00A56048"/>
    <w:rsid w:val="00A56874"/>
    <w:rsid w:val="00A568D7"/>
    <w:rsid w:val="00A56B51"/>
    <w:rsid w:val="00A56CBA"/>
    <w:rsid w:val="00A5774A"/>
    <w:rsid w:val="00A60BDC"/>
    <w:rsid w:val="00A61D39"/>
    <w:rsid w:val="00A635FC"/>
    <w:rsid w:val="00A63E19"/>
    <w:rsid w:val="00A6549D"/>
    <w:rsid w:val="00A65EED"/>
    <w:rsid w:val="00A668AC"/>
    <w:rsid w:val="00A67C53"/>
    <w:rsid w:val="00A70462"/>
    <w:rsid w:val="00A70503"/>
    <w:rsid w:val="00A70C7E"/>
    <w:rsid w:val="00A726B7"/>
    <w:rsid w:val="00A72B52"/>
    <w:rsid w:val="00A72CF4"/>
    <w:rsid w:val="00A73D02"/>
    <w:rsid w:val="00A744CC"/>
    <w:rsid w:val="00A75CD3"/>
    <w:rsid w:val="00A77255"/>
    <w:rsid w:val="00A774CF"/>
    <w:rsid w:val="00A77649"/>
    <w:rsid w:val="00A77D3F"/>
    <w:rsid w:val="00A80660"/>
    <w:rsid w:val="00A81201"/>
    <w:rsid w:val="00A81B77"/>
    <w:rsid w:val="00A83501"/>
    <w:rsid w:val="00A8361F"/>
    <w:rsid w:val="00A8441D"/>
    <w:rsid w:val="00A8448D"/>
    <w:rsid w:val="00A849A8"/>
    <w:rsid w:val="00A86547"/>
    <w:rsid w:val="00A908BB"/>
    <w:rsid w:val="00A91A7B"/>
    <w:rsid w:val="00A9259A"/>
    <w:rsid w:val="00A9491D"/>
    <w:rsid w:val="00A955A9"/>
    <w:rsid w:val="00A95660"/>
    <w:rsid w:val="00A95FAF"/>
    <w:rsid w:val="00A967ED"/>
    <w:rsid w:val="00A96C46"/>
    <w:rsid w:val="00A96D07"/>
    <w:rsid w:val="00A97B50"/>
    <w:rsid w:val="00AA0C48"/>
    <w:rsid w:val="00AA13D5"/>
    <w:rsid w:val="00AA6702"/>
    <w:rsid w:val="00AA6B28"/>
    <w:rsid w:val="00AA7731"/>
    <w:rsid w:val="00AB01FC"/>
    <w:rsid w:val="00AB1002"/>
    <w:rsid w:val="00AB1FA7"/>
    <w:rsid w:val="00AB2B25"/>
    <w:rsid w:val="00AB31E1"/>
    <w:rsid w:val="00AB35D5"/>
    <w:rsid w:val="00AB408E"/>
    <w:rsid w:val="00AB4432"/>
    <w:rsid w:val="00AB626C"/>
    <w:rsid w:val="00AB716C"/>
    <w:rsid w:val="00AB7727"/>
    <w:rsid w:val="00AC02ED"/>
    <w:rsid w:val="00AC26CB"/>
    <w:rsid w:val="00AC32F8"/>
    <w:rsid w:val="00AC41E8"/>
    <w:rsid w:val="00AC4805"/>
    <w:rsid w:val="00AC5106"/>
    <w:rsid w:val="00AC5354"/>
    <w:rsid w:val="00AC5E37"/>
    <w:rsid w:val="00AC77C7"/>
    <w:rsid w:val="00AC7E71"/>
    <w:rsid w:val="00AC7E87"/>
    <w:rsid w:val="00AD08A6"/>
    <w:rsid w:val="00AD0D4D"/>
    <w:rsid w:val="00AD11E3"/>
    <w:rsid w:val="00AD233E"/>
    <w:rsid w:val="00AD2E80"/>
    <w:rsid w:val="00AD3351"/>
    <w:rsid w:val="00AD34C1"/>
    <w:rsid w:val="00AD380C"/>
    <w:rsid w:val="00AD3D71"/>
    <w:rsid w:val="00AD51EE"/>
    <w:rsid w:val="00AD58CE"/>
    <w:rsid w:val="00AD6E24"/>
    <w:rsid w:val="00AD76CB"/>
    <w:rsid w:val="00AD76E9"/>
    <w:rsid w:val="00AE01A4"/>
    <w:rsid w:val="00AE1D78"/>
    <w:rsid w:val="00AE2773"/>
    <w:rsid w:val="00AE2B1F"/>
    <w:rsid w:val="00AE30F1"/>
    <w:rsid w:val="00AE5371"/>
    <w:rsid w:val="00AE53DD"/>
    <w:rsid w:val="00AE6AB3"/>
    <w:rsid w:val="00AE74E4"/>
    <w:rsid w:val="00AE7910"/>
    <w:rsid w:val="00AE79DF"/>
    <w:rsid w:val="00AE7FD9"/>
    <w:rsid w:val="00AF040F"/>
    <w:rsid w:val="00AF0D6F"/>
    <w:rsid w:val="00AF1EC6"/>
    <w:rsid w:val="00AF319A"/>
    <w:rsid w:val="00AF352D"/>
    <w:rsid w:val="00AF46AE"/>
    <w:rsid w:val="00AF48EF"/>
    <w:rsid w:val="00AF59FB"/>
    <w:rsid w:val="00AF60EA"/>
    <w:rsid w:val="00AF61C6"/>
    <w:rsid w:val="00B02BEB"/>
    <w:rsid w:val="00B03F25"/>
    <w:rsid w:val="00B04B5F"/>
    <w:rsid w:val="00B06786"/>
    <w:rsid w:val="00B0737B"/>
    <w:rsid w:val="00B10E82"/>
    <w:rsid w:val="00B10E8B"/>
    <w:rsid w:val="00B13928"/>
    <w:rsid w:val="00B13FE5"/>
    <w:rsid w:val="00B14722"/>
    <w:rsid w:val="00B147EF"/>
    <w:rsid w:val="00B14FDF"/>
    <w:rsid w:val="00B150BE"/>
    <w:rsid w:val="00B15B7E"/>
    <w:rsid w:val="00B15D1B"/>
    <w:rsid w:val="00B15D62"/>
    <w:rsid w:val="00B1616A"/>
    <w:rsid w:val="00B16EA5"/>
    <w:rsid w:val="00B1760E"/>
    <w:rsid w:val="00B17D87"/>
    <w:rsid w:val="00B24748"/>
    <w:rsid w:val="00B24D97"/>
    <w:rsid w:val="00B25EB7"/>
    <w:rsid w:val="00B2633E"/>
    <w:rsid w:val="00B27049"/>
    <w:rsid w:val="00B30B1A"/>
    <w:rsid w:val="00B339C1"/>
    <w:rsid w:val="00B344CF"/>
    <w:rsid w:val="00B34D1A"/>
    <w:rsid w:val="00B35B24"/>
    <w:rsid w:val="00B35E92"/>
    <w:rsid w:val="00B35F83"/>
    <w:rsid w:val="00B36B85"/>
    <w:rsid w:val="00B36D68"/>
    <w:rsid w:val="00B36DA7"/>
    <w:rsid w:val="00B4100A"/>
    <w:rsid w:val="00B41CE8"/>
    <w:rsid w:val="00B43049"/>
    <w:rsid w:val="00B434A2"/>
    <w:rsid w:val="00B43B18"/>
    <w:rsid w:val="00B44463"/>
    <w:rsid w:val="00B4618D"/>
    <w:rsid w:val="00B4624F"/>
    <w:rsid w:val="00B47FA9"/>
    <w:rsid w:val="00B50F5F"/>
    <w:rsid w:val="00B51190"/>
    <w:rsid w:val="00B513C6"/>
    <w:rsid w:val="00B54EB7"/>
    <w:rsid w:val="00B562D1"/>
    <w:rsid w:val="00B562FA"/>
    <w:rsid w:val="00B572F5"/>
    <w:rsid w:val="00B6163D"/>
    <w:rsid w:val="00B64B05"/>
    <w:rsid w:val="00B6521F"/>
    <w:rsid w:val="00B6642E"/>
    <w:rsid w:val="00B664BA"/>
    <w:rsid w:val="00B6653E"/>
    <w:rsid w:val="00B66583"/>
    <w:rsid w:val="00B7070C"/>
    <w:rsid w:val="00B722B5"/>
    <w:rsid w:val="00B72E66"/>
    <w:rsid w:val="00B73BB0"/>
    <w:rsid w:val="00B74C9E"/>
    <w:rsid w:val="00B752E6"/>
    <w:rsid w:val="00B76657"/>
    <w:rsid w:val="00B768D3"/>
    <w:rsid w:val="00B80074"/>
    <w:rsid w:val="00B80849"/>
    <w:rsid w:val="00B820EE"/>
    <w:rsid w:val="00B82CAB"/>
    <w:rsid w:val="00B832EF"/>
    <w:rsid w:val="00B833BA"/>
    <w:rsid w:val="00B83A83"/>
    <w:rsid w:val="00B83CB9"/>
    <w:rsid w:val="00B84065"/>
    <w:rsid w:val="00B85DAB"/>
    <w:rsid w:val="00B86559"/>
    <w:rsid w:val="00B86787"/>
    <w:rsid w:val="00B86D2B"/>
    <w:rsid w:val="00B86E6A"/>
    <w:rsid w:val="00B91AAE"/>
    <w:rsid w:val="00B91D45"/>
    <w:rsid w:val="00B94AFA"/>
    <w:rsid w:val="00B963BF"/>
    <w:rsid w:val="00B96B3E"/>
    <w:rsid w:val="00B97473"/>
    <w:rsid w:val="00B975A9"/>
    <w:rsid w:val="00BA03AC"/>
    <w:rsid w:val="00BA0628"/>
    <w:rsid w:val="00BA224B"/>
    <w:rsid w:val="00BA23AA"/>
    <w:rsid w:val="00BA2F32"/>
    <w:rsid w:val="00BA335C"/>
    <w:rsid w:val="00BA37AB"/>
    <w:rsid w:val="00BA3AF9"/>
    <w:rsid w:val="00BA3E7B"/>
    <w:rsid w:val="00BA4829"/>
    <w:rsid w:val="00BA53B2"/>
    <w:rsid w:val="00BA5D3B"/>
    <w:rsid w:val="00BA6272"/>
    <w:rsid w:val="00BA6526"/>
    <w:rsid w:val="00BA6C96"/>
    <w:rsid w:val="00BA7C19"/>
    <w:rsid w:val="00BB03CA"/>
    <w:rsid w:val="00BB0571"/>
    <w:rsid w:val="00BB070D"/>
    <w:rsid w:val="00BB0B64"/>
    <w:rsid w:val="00BB1584"/>
    <w:rsid w:val="00BB2C42"/>
    <w:rsid w:val="00BB4D94"/>
    <w:rsid w:val="00BB751D"/>
    <w:rsid w:val="00BB7830"/>
    <w:rsid w:val="00BB7CC0"/>
    <w:rsid w:val="00BC28EA"/>
    <w:rsid w:val="00BC2A0C"/>
    <w:rsid w:val="00BC3B4D"/>
    <w:rsid w:val="00BC4E02"/>
    <w:rsid w:val="00BC57FF"/>
    <w:rsid w:val="00BC5CB3"/>
    <w:rsid w:val="00BC6FDC"/>
    <w:rsid w:val="00BC7587"/>
    <w:rsid w:val="00BC770A"/>
    <w:rsid w:val="00BD0B79"/>
    <w:rsid w:val="00BD1AD0"/>
    <w:rsid w:val="00BD254C"/>
    <w:rsid w:val="00BD2922"/>
    <w:rsid w:val="00BD2A9A"/>
    <w:rsid w:val="00BD305D"/>
    <w:rsid w:val="00BD5050"/>
    <w:rsid w:val="00BD537E"/>
    <w:rsid w:val="00BD57D2"/>
    <w:rsid w:val="00BD623B"/>
    <w:rsid w:val="00BD7D87"/>
    <w:rsid w:val="00BE00F5"/>
    <w:rsid w:val="00BE0F0A"/>
    <w:rsid w:val="00BE11D4"/>
    <w:rsid w:val="00BE1345"/>
    <w:rsid w:val="00BE3420"/>
    <w:rsid w:val="00BE3F00"/>
    <w:rsid w:val="00BE4AB0"/>
    <w:rsid w:val="00BE5CA3"/>
    <w:rsid w:val="00BF0FF8"/>
    <w:rsid w:val="00BF1CF9"/>
    <w:rsid w:val="00BF249C"/>
    <w:rsid w:val="00BF2953"/>
    <w:rsid w:val="00BF4278"/>
    <w:rsid w:val="00BF6734"/>
    <w:rsid w:val="00BF6BC7"/>
    <w:rsid w:val="00BF7444"/>
    <w:rsid w:val="00BF76F8"/>
    <w:rsid w:val="00BF7C97"/>
    <w:rsid w:val="00C0013E"/>
    <w:rsid w:val="00C001CA"/>
    <w:rsid w:val="00C01372"/>
    <w:rsid w:val="00C0158C"/>
    <w:rsid w:val="00C0180E"/>
    <w:rsid w:val="00C02242"/>
    <w:rsid w:val="00C035A4"/>
    <w:rsid w:val="00C039F0"/>
    <w:rsid w:val="00C043E2"/>
    <w:rsid w:val="00C04AF2"/>
    <w:rsid w:val="00C06337"/>
    <w:rsid w:val="00C0659F"/>
    <w:rsid w:val="00C07FFC"/>
    <w:rsid w:val="00C10160"/>
    <w:rsid w:val="00C11120"/>
    <w:rsid w:val="00C12414"/>
    <w:rsid w:val="00C13AC3"/>
    <w:rsid w:val="00C144D0"/>
    <w:rsid w:val="00C2399F"/>
    <w:rsid w:val="00C24541"/>
    <w:rsid w:val="00C25C44"/>
    <w:rsid w:val="00C26257"/>
    <w:rsid w:val="00C31BCA"/>
    <w:rsid w:val="00C31E29"/>
    <w:rsid w:val="00C323FE"/>
    <w:rsid w:val="00C329AA"/>
    <w:rsid w:val="00C33A37"/>
    <w:rsid w:val="00C34443"/>
    <w:rsid w:val="00C36059"/>
    <w:rsid w:val="00C36E42"/>
    <w:rsid w:val="00C36ED3"/>
    <w:rsid w:val="00C373EF"/>
    <w:rsid w:val="00C4108F"/>
    <w:rsid w:val="00C417CE"/>
    <w:rsid w:val="00C4315A"/>
    <w:rsid w:val="00C4447D"/>
    <w:rsid w:val="00C452BC"/>
    <w:rsid w:val="00C466CB"/>
    <w:rsid w:val="00C46AB4"/>
    <w:rsid w:val="00C5026C"/>
    <w:rsid w:val="00C5057E"/>
    <w:rsid w:val="00C50D05"/>
    <w:rsid w:val="00C513C9"/>
    <w:rsid w:val="00C51474"/>
    <w:rsid w:val="00C529EB"/>
    <w:rsid w:val="00C53614"/>
    <w:rsid w:val="00C5432E"/>
    <w:rsid w:val="00C54512"/>
    <w:rsid w:val="00C5642F"/>
    <w:rsid w:val="00C60D16"/>
    <w:rsid w:val="00C61AB6"/>
    <w:rsid w:val="00C61C9B"/>
    <w:rsid w:val="00C628F1"/>
    <w:rsid w:val="00C631B8"/>
    <w:rsid w:val="00C63D95"/>
    <w:rsid w:val="00C63FEA"/>
    <w:rsid w:val="00C64BE4"/>
    <w:rsid w:val="00C65CC4"/>
    <w:rsid w:val="00C65EE7"/>
    <w:rsid w:val="00C6754A"/>
    <w:rsid w:val="00C67A02"/>
    <w:rsid w:val="00C703B2"/>
    <w:rsid w:val="00C719E6"/>
    <w:rsid w:val="00C71A25"/>
    <w:rsid w:val="00C71E1D"/>
    <w:rsid w:val="00C722EB"/>
    <w:rsid w:val="00C7340A"/>
    <w:rsid w:val="00C747F3"/>
    <w:rsid w:val="00C74E60"/>
    <w:rsid w:val="00C77C07"/>
    <w:rsid w:val="00C80697"/>
    <w:rsid w:val="00C81BB4"/>
    <w:rsid w:val="00C822F8"/>
    <w:rsid w:val="00C82902"/>
    <w:rsid w:val="00C83767"/>
    <w:rsid w:val="00C85158"/>
    <w:rsid w:val="00C87F56"/>
    <w:rsid w:val="00C90084"/>
    <w:rsid w:val="00C90A79"/>
    <w:rsid w:val="00C90FB1"/>
    <w:rsid w:val="00C91262"/>
    <w:rsid w:val="00C912C5"/>
    <w:rsid w:val="00C919B2"/>
    <w:rsid w:val="00C91A48"/>
    <w:rsid w:val="00C91B2F"/>
    <w:rsid w:val="00C9202E"/>
    <w:rsid w:val="00C93828"/>
    <w:rsid w:val="00C93B13"/>
    <w:rsid w:val="00C94170"/>
    <w:rsid w:val="00C95367"/>
    <w:rsid w:val="00C96E8C"/>
    <w:rsid w:val="00C97361"/>
    <w:rsid w:val="00C97A1F"/>
    <w:rsid w:val="00C97C06"/>
    <w:rsid w:val="00CA019F"/>
    <w:rsid w:val="00CA0FE5"/>
    <w:rsid w:val="00CA10A4"/>
    <w:rsid w:val="00CA120B"/>
    <w:rsid w:val="00CA1E46"/>
    <w:rsid w:val="00CA2139"/>
    <w:rsid w:val="00CA2749"/>
    <w:rsid w:val="00CA3746"/>
    <w:rsid w:val="00CA3DB8"/>
    <w:rsid w:val="00CA4F12"/>
    <w:rsid w:val="00CA72CE"/>
    <w:rsid w:val="00CB0052"/>
    <w:rsid w:val="00CB17C2"/>
    <w:rsid w:val="00CB263E"/>
    <w:rsid w:val="00CB2CDA"/>
    <w:rsid w:val="00CB3748"/>
    <w:rsid w:val="00CB5766"/>
    <w:rsid w:val="00CB6D96"/>
    <w:rsid w:val="00CC0139"/>
    <w:rsid w:val="00CC16EA"/>
    <w:rsid w:val="00CC171F"/>
    <w:rsid w:val="00CC42A0"/>
    <w:rsid w:val="00CC4B42"/>
    <w:rsid w:val="00CC4C57"/>
    <w:rsid w:val="00CC5B80"/>
    <w:rsid w:val="00CC5F43"/>
    <w:rsid w:val="00CD5082"/>
    <w:rsid w:val="00CD56F3"/>
    <w:rsid w:val="00CD7CCF"/>
    <w:rsid w:val="00CE0251"/>
    <w:rsid w:val="00CE0FA2"/>
    <w:rsid w:val="00CE1133"/>
    <w:rsid w:val="00CE2B74"/>
    <w:rsid w:val="00CE3099"/>
    <w:rsid w:val="00CE495F"/>
    <w:rsid w:val="00CE7004"/>
    <w:rsid w:val="00CE790A"/>
    <w:rsid w:val="00CF02CD"/>
    <w:rsid w:val="00CF20D2"/>
    <w:rsid w:val="00CF2319"/>
    <w:rsid w:val="00CF233A"/>
    <w:rsid w:val="00CF2E07"/>
    <w:rsid w:val="00CF4008"/>
    <w:rsid w:val="00CF56A9"/>
    <w:rsid w:val="00CF5893"/>
    <w:rsid w:val="00CF5D72"/>
    <w:rsid w:val="00CF6341"/>
    <w:rsid w:val="00CF6E8B"/>
    <w:rsid w:val="00CF7BDE"/>
    <w:rsid w:val="00D001A9"/>
    <w:rsid w:val="00D01112"/>
    <w:rsid w:val="00D0124B"/>
    <w:rsid w:val="00D02975"/>
    <w:rsid w:val="00D02B2F"/>
    <w:rsid w:val="00D02C42"/>
    <w:rsid w:val="00D02F5F"/>
    <w:rsid w:val="00D034B6"/>
    <w:rsid w:val="00D03880"/>
    <w:rsid w:val="00D0507D"/>
    <w:rsid w:val="00D05304"/>
    <w:rsid w:val="00D125DB"/>
    <w:rsid w:val="00D12ED3"/>
    <w:rsid w:val="00D14F5D"/>
    <w:rsid w:val="00D153DF"/>
    <w:rsid w:val="00D15700"/>
    <w:rsid w:val="00D15D4C"/>
    <w:rsid w:val="00D1626B"/>
    <w:rsid w:val="00D1647E"/>
    <w:rsid w:val="00D210F4"/>
    <w:rsid w:val="00D21901"/>
    <w:rsid w:val="00D23149"/>
    <w:rsid w:val="00D23512"/>
    <w:rsid w:val="00D25248"/>
    <w:rsid w:val="00D27B9D"/>
    <w:rsid w:val="00D3056D"/>
    <w:rsid w:val="00D35021"/>
    <w:rsid w:val="00D35484"/>
    <w:rsid w:val="00D4077C"/>
    <w:rsid w:val="00D423A9"/>
    <w:rsid w:val="00D43131"/>
    <w:rsid w:val="00D43A59"/>
    <w:rsid w:val="00D45FE2"/>
    <w:rsid w:val="00D46598"/>
    <w:rsid w:val="00D465A8"/>
    <w:rsid w:val="00D46A1A"/>
    <w:rsid w:val="00D47122"/>
    <w:rsid w:val="00D473FC"/>
    <w:rsid w:val="00D47DB4"/>
    <w:rsid w:val="00D50D50"/>
    <w:rsid w:val="00D51768"/>
    <w:rsid w:val="00D5215A"/>
    <w:rsid w:val="00D52F83"/>
    <w:rsid w:val="00D560CC"/>
    <w:rsid w:val="00D56F67"/>
    <w:rsid w:val="00D5754B"/>
    <w:rsid w:val="00D605B3"/>
    <w:rsid w:val="00D60738"/>
    <w:rsid w:val="00D6495F"/>
    <w:rsid w:val="00D649AB"/>
    <w:rsid w:val="00D6509E"/>
    <w:rsid w:val="00D655ED"/>
    <w:rsid w:val="00D67B08"/>
    <w:rsid w:val="00D67C1F"/>
    <w:rsid w:val="00D705AC"/>
    <w:rsid w:val="00D70FB4"/>
    <w:rsid w:val="00D7297D"/>
    <w:rsid w:val="00D73334"/>
    <w:rsid w:val="00D7562D"/>
    <w:rsid w:val="00D75C5B"/>
    <w:rsid w:val="00D77E0A"/>
    <w:rsid w:val="00D8051B"/>
    <w:rsid w:val="00D807A8"/>
    <w:rsid w:val="00D80FAD"/>
    <w:rsid w:val="00D815EC"/>
    <w:rsid w:val="00D817E3"/>
    <w:rsid w:val="00D82241"/>
    <w:rsid w:val="00D84DF6"/>
    <w:rsid w:val="00D8500A"/>
    <w:rsid w:val="00D8529F"/>
    <w:rsid w:val="00D86B10"/>
    <w:rsid w:val="00D86C54"/>
    <w:rsid w:val="00D90415"/>
    <w:rsid w:val="00D9172A"/>
    <w:rsid w:val="00D93AC9"/>
    <w:rsid w:val="00D93EB6"/>
    <w:rsid w:val="00D9548C"/>
    <w:rsid w:val="00D95DAD"/>
    <w:rsid w:val="00D9718A"/>
    <w:rsid w:val="00DA2597"/>
    <w:rsid w:val="00DA2D8D"/>
    <w:rsid w:val="00DA4FBB"/>
    <w:rsid w:val="00DA53AA"/>
    <w:rsid w:val="00DA644D"/>
    <w:rsid w:val="00DA6938"/>
    <w:rsid w:val="00DB0880"/>
    <w:rsid w:val="00DB0AB8"/>
    <w:rsid w:val="00DB0CA1"/>
    <w:rsid w:val="00DB1053"/>
    <w:rsid w:val="00DB2289"/>
    <w:rsid w:val="00DB3793"/>
    <w:rsid w:val="00DB5A36"/>
    <w:rsid w:val="00DC0AA0"/>
    <w:rsid w:val="00DC0B27"/>
    <w:rsid w:val="00DC16FA"/>
    <w:rsid w:val="00DC19F7"/>
    <w:rsid w:val="00DC2A23"/>
    <w:rsid w:val="00DC30E3"/>
    <w:rsid w:val="00DC65DC"/>
    <w:rsid w:val="00DC6B11"/>
    <w:rsid w:val="00DC7A54"/>
    <w:rsid w:val="00DC7A56"/>
    <w:rsid w:val="00DD0E79"/>
    <w:rsid w:val="00DD1BFA"/>
    <w:rsid w:val="00DD2135"/>
    <w:rsid w:val="00DD23FA"/>
    <w:rsid w:val="00DD308F"/>
    <w:rsid w:val="00DD35E6"/>
    <w:rsid w:val="00DD5D24"/>
    <w:rsid w:val="00DD719D"/>
    <w:rsid w:val="00DE2AF0"/>
    <w:rsid w:val="00DE2BF9"/>
    <w:rsid w:val="00DE3D60"/>
    <w:rsid w:val="00DE6BBE"/>
    <w:rsid w:val="00DE6DAF"/>
    <w:rsid w:val="00DF1090"/>
    <w:rsid w:val="00DF11E2"/>
    <w:rsid w:val="00DF1546"/>
    <w:rsid w:val="00DF1551"/>
    <w:rsid w:val="00DF3AFB"/>
    <w:rsid w:val="00DF69DF"/>
    <w:rsid w:val="00DF7323"/>
    <w:rsid w:val="00E033B5"/>
    <w:rsid w:val="00E041EC"/>
    <w:rsid w:val="00E044C0"/>
    <w:rsid w:val="00E046C0"/>
    <w:rsid w:val="00E0470B"/>
    <w:rsid w:val="00E06066"/>
    <w:rsid w:val="00E062A2"/>
    <w:rsid w:val="00E064DF"/>
    <w:rsid w:val="00E06B08"/>
    <w:rsid w:val="00E11BE4"/>
    <w:rsid w:val="00E12EA2"/>
    <w:rsid w:val="00E13A88"/>
    <w:rsid w:val="00E159EF"/>
    <w:rsid w:val="00E165CC"/>
    <w:rsid w:val="00E16F93"/>
    <w:rsid w:val="00E2086A"/>
    <w:rsid w:val="00E208D9"/>
    <w:rsid w:val="00E2114E"/>
    <w:rsid w:val="00E22377"/>
    <w:rsid w:val="00E2375C"/>
    <w:rsid w:val="00E24B05"/>
    <w:rsid w:val="00E26342"/>
    <w:rsid w:val="00E316DE"/>
    <w:rsid w:val="00E31BC0"/>
    <w:rsid w:val="00E32933"/>
    <w:rsid w:val="00E32E7C"/>
    <w:rsid w:val="00E32F48"/>
    <w:rsid w:val="00E332E7"/>
    <w:rsid w:val="00E36A43"/>
    <w:rsid w:val="00E40006"/>
    <w:rsid w:val="00E40201"/>
    <w:rsid w:val="00E4045D"/>
    <w:rsid w:val="00E408A3"/>
    <w:rsid w:val="00E43036"/>
    <w:rsid w:val="00E43510"/>
    <w:rsid w:val="00E43D64"/>
    <w:rsid w:val="00E43E47"/>
    <w:rsid w:val="00E46024"/>
    <w:rsid w:val="00E468D8"/>
    <w:rsid w:val="00E46EC1"/>
    <w:rsid w:val="00E475F3"/>
    <w:rsid w:val="00E47A39"/>
    <w:rsid w:val="00E505B4"/>
    <w:rsid w:val="00E520C8"/>
    <w:rsid w:val="00E52831"/>
    <w:rsid w:val="00E5371A"/>
    <w:rsid w:val="00E548BB"/>
    <w:rsid w:val="00E575EF"/>
    <w:rsid w:val="00E605E5"/>
    <w:rsid w:val="00E6199E"/>
    <w:rsid w:val="00E62062"/>
    <w:rsid w:val="00E62167"/>
    <w:rsid w:val="00E62185"/>
    <w:rsid w:val="00E625C8"/>
    <w:rsid w:val="00E62981"/>
    <w:rsid w:val="00E62DA4"/>
    <w:rsid w:val="00E62F3C"/>
    <w:rsid w:val="00E64218"/>
    <w:rsid w:val="00E64A68"/>
    <w:rsid w:val="00E6535A"/>
    <w:rsid w:val="00E673B3"/>
    <w:rsid w:val="00E678BD"/>
    <w:rsid w:val="00E735CB"/>
    <w:rsid w:val="00E75920"/>
    <w:rsid w:val="00E7713B"/>
    <w:rsid w:val="00E80684"/>
    <w:rsid w:val="00E80EAE"/>
    <w:rsid w:val="00E8233E"/>
    <w:rsid w:val="00E82C9F"/>
    <w:rsid w:val="00E83131"/>
    <w:rsid w:val="00E83F10"/>
    <w:rsid w:val="00E8428A"/>
    <w:rsid w:val="00E84451"/>
    <w:rsid w:val="00E84F10"/>
    <w:rsid w:val="00E853A0"/>
    <w:rsid w:val="00E85E64"/>
    <w:rsid w:val="00E8608E"/>
    <w:rsid w:val="00E86478"/>
    <w:rsid w:val="00E876E1"/>
    <w:rsid w:val="00E93063"/>
    <w:rsid w:val="00E936EE"/>
    <w:rsid w:val="00E938E1"/>
    <w:rsid w:val="00E948E3"/>
    <w:rsid w:val="00E94D71"/>
    <w:rsid w:val="00E957BE"/>
    <w:rsid w:val="00E96D4D"/>
    <w:rsid w:val="00E96E17"/>
    <w:rsid w:val="00E97ADF"/>
    <w:rsid w:val="00EA05A9"/>
    <w:rsid w:val="00EA155A"/>
    <w:rsid w:val="00EA23DD"/>
    <w:rsid w:val="00EA2EB8"/>
    <w:rsid w:val="00EA313A"/>
    <w:rsid w:val="00EA42C2"/>
    <w:rsid w:val="00EA5631"/>
    <w:rsid w:val="00EA5BB8"/>
    <w:rsid w:val="00EA7F66"/>
    <w:rsid w:val="00EB01A0"/>
    <w:rsid w:val="00EB1EF9"/>
    <w:rsid w:val="00EB223C"/>
    <w:rsid w:val="00EB2244"/>
    <w:rsid w:val="00EB340E"/>
    <w:rsid w:val="00EB3640"/>
    <w:rsid w:val="00EB3745"/>
    <w:rsid w:val="00EB48F6"/>
    <w:rsid w:val="00EB535D"/>
    <w:rsid w:val="00EB5CE8"/>
    <w:rsid w:val="00EB61C1"/>
    <w:rsid w:val="00EB6556"/>
    <w:rsid w:val="00EC0080"/>
    <w:rsid w:val="00EC0B3A"/>
    <w:rsid w:val="00EC1328"/>
    <w:rsid w:val="00EC1797"/>
    <w:rsid w:val="00EC471A"/>
    <w:rsid w:val="00EC5B84"/>
    <w:rsid w:val="00EC6429"/>
    <w:rsid w:val="00EC6895"/>
    <w:rsid w:val="00ED07A8"/>
    <w:rsid w:val="00ED0C08"/>
    <w:rsid w:val="00ED4077"/>
    <w:rsid w:val="00ED6181"/>
    <w:rsid w:val="00ED6A87"/>
    <w:rsid w:val="00EE0436"/>
    <w:rsid w:val="00EE1517"/>
    <w:rsid w:val="00EE16EC"/>
    <w:rsid w:val="00EE1BF4"/>
    <w:rsid w:val="00EE1DFF"/>
    <w:rsid w:val="00EE27BF"/>
    <w:rsid w:val="00EE3C41"/>
    <w:rsid w:val="00EE3F98"/>
    <w:rsid w:val="00EE57B8"/>
    <w:rsid w:val="00EE6722"/>
    <w:rsid w:val="00EE7AB6"/>
    <w:rsid w:val="00EF11AC"/>
    <w:rsid w:val="00EF136A"/>
    <w:rsid w:val="00EF393D"/>
    <w:rsid w:val="00EF61E2"/>
    <w:rsid w:val="00EF68B6"/>
    <w:rsid w:val="00EF6CC4"/>
    <w:rsid w:val="00F008E9"/>
    <w:rsid w:val="00F00DDD"/>
    <w:rsid w:val="00F02219"/>
    <w:rsid w:val="00F02A8E"/>
    <w:rsid w:val="00F05A33"/>
    <w:rsid w:val="00F05B01"/>
    <w:rsid w:val="00F06650"/>
    <w:rsid w:val="00F075DE"/>
    <w:rsid w:val="00F12D2D"/>
    <w:rsid w:val="00F14768"/>
    <w:rsid w:val="00F15B8D"/>
    <w:rsid w:val="00F15DDC"/>
    <w:rsid w:val="00F17998"/>
    <w:rsid w:val="00F203E7"/>
    <w:rsid w:val="00F21BAA"/>
    <w:rsid w:val="00F21EDB"/>
    <w:rsid w:val="00F22971"/>
    <w:rsid w:val="00F24112"/>
    <w:rsid w:val="00F24E74"/>
    <w:rsid w:val="00F27C29"/>
    <w:rsid w:val="00F27D2C"/>
    <w:rsid w:val="00F303BF"/>
    <w:rsid w:val="00F30C60"/>
    <w:rsid w:val="00F30CBF"/>
    <w:rsid w:val="00F32B16"/>
    <w:rsid w:val="00F33584"/>
    <w:rsid w:val="00F3382E"/>
    <w:rsid w:val="00F33F0E"/>
    <w:rsid w:val="00F34445"/>
    <w:rsid w:val="00F35C62"/>
    <w:rsid w:val="00F36C52"/>
    <w:rsid w:val="00F40A38"/>
    <w:rsid w:val="00F4152B"/>
    <w:rsid w:val="00F44AFF"/>
    <w:rsid w:val="00F452AA"/>
    <w:rsid w:val="00F455E9"/>
    <w:rsid w:val="00F45B45"/>
    <w:rsid w:val="00F461B1"/>
    <w:rsid w:val="00F46FC5"/>
    <w:rsid w:val="00F5009D"/>
    <w:rsid w:val="00F50210"/>
    <w:rsid w:val="00F51990"/>
    <w:rsid w:val="00F5209C"/>
    <w:rsid w:val="00F535F0"/>
    <w:rsid w:val="00F53A63"/>
    <w:rsid w:val="00F53B8E"/>
    <w:rsid w:val="00F53EC0"/>
    <w:rsid w:val="00F565A2"/>
    <w:rsid w:val="00F56C13"/>
    <w:rsid w:val="00F57A47"/>
    <w:rsid w:val="00F600F5"/>
    <w:rsid w:val="00F601DA"/>
    <w:rsid w:val="00F60CB8"/>
    <w:rsid w:val="00F61890"/>
    <w:rsid w:val="00F63401"/>
    <w:rsid w:val="00F6364B"/>
    <w:rsid w:val="00F63BF3"/>
    <w:rsid w:val="00F6536B"/>
    <w:rsid w:val="00F672F8"/>
    <w:rsid w:val="00F67D36"/>
    <w:rsid w:val="00F709DC"/>
    <w:rsid w:val="00F70D9F"/>
    <w:rsid w:val="00F7128A"/>
    <w:rsid w:val="00F76AA7"/>
    <w:rsid w:val="00F80998"/>
    <w:rsid w:val="00F818A0"/>
    <w:rsid w:val="00F82339"/>
    <w:rsid w:val="00F83609"/>
    <w:rsid w:val="00F8522D"/>
    <w:rsid w:val="00F85619"/>
    <w:rsid w:val="00F8587A"/>
    <w:rsid w:val="00F85B5E"/>
    <w:rsid w:val="00F9008F"/>
    <w:rsid w:val="00F9039D"/>
    <w:rsid w:val="00F90512"/>
    <w:rsid w:val="00F9074F"/>
    <w:rsid w:val="00F9097D"/>
    <w:rsid w:val="00F9181E"/>
    <w:rsid w:val="00F921E0"/>
    <w:rsid w:val="00F93BE6"/>
    <w:rsid w:val="00F9445F"/>
    <w:rsid w:val="00F94FB8"/>
    <w:rsid w:val="00F950E5"/>
    <w:rsid w:val="00F956E9"/>
    <w:rsid w:val="00F96A2B"/>
    <w:rsid w:val="00F96AC8"/>
    <w:rsid w:val="00FA159E"/>
    <w:rsid w:val="00FA1FAE"/>
    <w:rsid w:val="00FA2785"/>
    <w:rsid w:val="00FA471C"/>
    <w:rsid w:val="00FA4EAF"/>
    <w:rsid w:val="00FA6214"/>
    <w:rsid w:val="00FA64C4"/>
    <w:rsid w:val="00FA6FDF"/>
    <w:rsid w:val="00FA70DE"/>
    <w:rsid w:val="00FA787D"/>
    <w:rsid w:val="00FB034D"/>
    <w:rsid w:val="00FB1322"/>
    <w:rsid w:val="00FB3398"/>
    <w:rsid w:val="00FB38D9"/>
    <w:rsid w:val="00FB7785"/>
    <w:rsid w:val="00FC056D"/>
    <w:rsid w:val="00FC082F"/>
    <w:rsid w:val="00FC19EE"/>
    <w:rsid w:val="00FC24E1"/>
    <w:rsid w:val="00FC2EF5"/>
    <w:rsid w:val="00FC3B22"/>
    <w:rsid w:val="00FC533D"/>
    <w:rsid w:val="00FC5C1F"/>
    <w:rsid w:val="00FC7D3F"/>
    <w:rsid w:val="00FD2011"/>
    <w:rsid w:val="00FD450E"/>
    <w:rsid w:val="00FD4B02"/>
    <w:rsid w:val="00FD4C10"/>
    <w:rsid w:val="00FE0098"/>
    <w:rsid w:val="00FE132C"/>
    <w:rsid w:val="00FE193A"/>
    <w:rsid w:val="00FE1E0E"/>
    <w:rsid w:val="00FE46F8"/>
    <w:rsid w:val="00FE6A00"/>
    <w:rsid w:val="00FE7ABA"/>
    <w:rsid w:val="00FF51A5"/>
    <w:rsid w:val="00FF5AFE"/>
    <w:rsid w:val="00FF6982"/>
    <w:rsid w:val="09D71CC8"/>
    <w:rsid w:val="0C2F0158"/>
    <w:rsid w:val="13ED74D2"/>
    <w:rsid w:val="156F1504"/>
    <w:rsid w:val="23F13F75"/>
    <w:rsid w:val="37376877"/>
    <w:rsid w:val="3B8B514C"/>
    <w:rsid w:val="4B6C72C5"/>
    <w:rsid w:val="5299343E"/>
    <w:rsid w:val="545464F6"/>
    <w:rsid w:val="70734A24"/>
    <w:rsid w:val="74CA1B8D"/>
    <w:rsid w:val="7FDE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标题 1 Char"/>
    <w:basedOn w:val="6"/>
    <w:link w:val="2"/>
    <w:qFormat/>
    <w:uiPriority w:val="9"/>
    <w:rPr>
      <w:b/>
      <w:bCs/>
      <w:kern w:val="44"/>
      <w:sz w:val="44"/>
      <w:szCs w:val="44"/>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2195</Words>
  <Characters>12518</Characters>
  <Lines>104</Lines>
  <Paragraphs>29</Paragraphs>
  <ScaleCrop>false</ScaleCrop>
  <LinksUpToDate>false</LinksUpToDate>
  <CharactersWithSpaces>14684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2020-12-29T05:02:00Z</dcterms:created>
  <dc:creator>tsczj</dc:creator>
  <cp:lastModifiedBy>Administrator</cp:lastModifiedBy>
  <dcterms:modified xsi:type="dcterms:W3CDTF">2021-01-07T08:28:34Z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