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FB453">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hint="eastAsia" w:ascii="Times New Roman" w:hAnsi="Times New Roman" w:eastAsia="方正小标宋简体"/>
          <w:sz w:val="32"/>
          <w:szCs w:val="32"/>
        </w:rPr>
      </w:pPr>
      <w:r>
        <w:rPr>
          <w:rFonts w:hint="eastAsia" w:ascii="Times New Roman" w:hAnsi="Times New Roman" w:eastAsia="方正小标宋简体"/>
          <w:sz w:val="32"/>
          <w:szCs w:val="32"/>
        </w:rPr>
        <w:t>唐山市防火门产品质量监督抽查实施细则（2025年版）</w:t>
      </w:r>
    </w:p>
    <w:p w14:paraId="3F5C5C9B">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hint="eastAsia" w:ascii="Times New Roman" w:hAnsi="Times New Roman" w:eastAsia="方正小标宋简体"/>
          <w:sz w:val="32"/>
          <w:szCs w:val="32"/>
        </w:rPr>
      </w:pPr>
    </w:p>
    <w:p w14:paraId="16745174">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黑体"/>
          <w:color w:val="000000"/>
        </w:rPr>
      </w:pPr>
      <w:r>
        <w:rPr>
          <w:rFonts w:hint="eastAsia" w:ascii="Times New Roman" w:hAnsi="Times New Roman" w:eastAsia="黑体"/>
          <w:color w:val="000000"/>
        </w:rPr>
        <w:t>1</w:t>
      </w:r>
      <w:r>
        <w:rPr>
          <w:rFonts w:hint="eastAsia" w:ascii="Times New Roman" w:hAnsi="Times New Roman" w:eastAsia="黑体"/>
          <w:color w:val="000000"/>
          <w:lang w:val="en-US" w:eastAsia="zh-CN"/>
        </w:rPr>
        <w:t xml:space="preserve"> </w:t>
      </w:r>
      <w:r>
        <w:rPr>
          <w:rFonts w:hint="eastAsia" w:ascii="Times New Roman" w:hAnsi="Times New Roman" w:eastAsia="黑体"/>
          <w:color w:val="000000"/>
        </w:rPr>
        <w:t>抽样方法</w:t>
      </w:r>
    </w:p>
    <w:p w14:paraId="07658A1D">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以随机抽样的方式抽取检验样品和备用样品</w:t>
      </w:r>
      <w:r>
        <w:rPr>
          <w:rFonts w:hint="eastAsia" w:ascii="Times New Roman" w:hAnsi="Times New Roman" w:cs="宋体"/>
        </w:rPr>
        <w:t>。</w:t>
      </w:r>
    </w:p>
    <w:p w14:paraId="5D702C23">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eastAsiaTheme="minorEastAsia" w:cstheme="minorEastAsia"/>
          <w:color w:val="000000"/>
        </w:rPr>
      </w:pPr>
      <w:r>
        <w:rPr>
          <w:rFonts w:hint="eastAsia" w:ascii="Times New Roman" w:hAnsi="Times New Roman" w:eastAsiaTheme="minorEastAsia" w:cstheme="minorEastAsia"/>
          <w:color w:val="000000"/>
        </w:rPr>
        <w:t>每批次产品抽取样品2樘，其中1樘作为检验样品，1樘作为备用样品。</w:t>
      </w:r>
    </w:p>
    <w:p w14:paraId="737469C5">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eastAsiaTheme="minorEastAsia" w:cstheme="minorEastAsia"/>
          <w:color w:val="000000"/>
        </w:rPr>
      </w:pPr>
    </w:p>
    <w:p w14:paraId="335A1DFF">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黑体"/>
          <w:color w:val="000000"/>
        </w:rPr>
      </w:pPr>
      <w:r>
        <w:rPr>
          <w:rFonts w:hint="eastAsia" w:ascii="Times New Roman" w:hAnsi="Times New Roman" w:eastAsia="黑体"/>
          <w:color w:val="000000"/>
        </w:rPr>
        <w:t>2</w:t>
      </w:r>
      <w:r>
        <w:rPr>
          <w:rFonts w:hint="eastAsia" w:ascii="Times New Roman" w:hAnsi="Times New Roman" w:eastAsia="黑体"/>
          <w:color w:val="000000"/>
          <w:lang w:val="en-US" w:eastAsia="zh-CN"/>
        </w:rPr>
        <w:t xml:space="preserve"> </w:t>
      </w:r>
      <w:r>
        <w:rPr>
          <w:rFonts w:hint="eastAsia" w:ascii="Times New Roman" w:hAnsi="Times New Roman" w:eastAsia="黑体"/>
          <w:color w:val="000000"/>
        </w:rPr>
        <w:t>抽查产品名称及执行标准</w:t>
      </w:r>
    </w:p>
    <w:p w14:paraId="233D8CF7">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本次抽查的产品名称主要为：防火门，产品执行标</w:t>
      </w:r>
      <w:r>
        <w:rPr>
          <w:rFonts w:hint="eastAsia" w:ascii="Times New Roman" w:hAnsi="Times New Roman" w:eastAsiaTheme="minorEastAsia" w:cstheme="minorEastAsia"/>
          <w:color w:val="000000"/>
        </w:rPr>
        <w:t>准见表1</w:t>
      </w:r>
      <w:r>
        <w:rPr>
          <w:rFonts w:hint="eastAsia" w:ascii="Times New Roman" w:hAnsi="Times New Roman"/>
          <w:color w:val="000000"/>
        </w:rPr>
        <w:t>。</w:t>
      </w:r>
    </w:p>
    <w:p w14:paraId="0B55A498">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color w:val="000000"/>
        </w:rPr>
      </w:pPr>
      <w:r>
        <w:rPr>
          <w:rFonts w:hint="eastAsia" w:ascii="Times New Roman" w:hAnsi="Times New Roman" w:cs="仿宋"/>
          <w:lang w:val="en-GB"/>
        </w:rPr>
        <w:t>表</w:t>
      </w:r>
      <w:r>
        <w:rPr>
          <w:rFonts w:hint="eastAsia" w:ascii="Times New Roman" w:hAnsi="Times New Roman" w:cs="仿宋"/>
        </w:rPr>
        <w:t>1 产品名称及执行标准</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0"/>
        <w:gridCol w:w="2981"/>
        <w:gridCol w:w="3729"/>
      </w:tblGrid>
      <w:tr w14:paraId="4A51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341" w:type="pct"/>
            <w:shd w:val="clear" w:color="auto" w:fill="auto"/>
            <w:vAlign w:val="center"/>
          </w:tcPr>
          <w:p w14:paraId="6F980BEB">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产品名称</w:t>
            </w:r>
          </w:p>
        </w:tc>
        <w:tc>
          <w:tcPr>
            <w:tcW w:w="1625" w:type="pct"/>
            <w:shd w:val="clear" w:color="auto" w:fill="auto"/>
            <w:vAlign w:val="center"/>
          </w:tcPr>
          <w:p w14:paraId="370E391F">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标准编号</w:t>
            </w:r>
          </w:p>
        </w:tc>
        <w:tc>
          <w:tcPr>
            <w:tcW w:w="2033" w:type="pct"/>
            <w:shd w:val="clear" w:color="auto" w:fill="auto"/>
            <w:vAlign w:val="center"/>
          </w:tcPr>
          <w:p w14:paraId="37B232C1">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标准名称</w:t>
            </w:r>
          </w:p>
        </w:tc>
      </w:tr>
      <w:tr w14:paraId="38149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41" w:type="pct"/>
            <w:vMerge w:val="restart"/>
            <w:shd w:val="clear" w:color="auto" w:fill="auto"/>
            <w:vAlign w:val="center"/>
          </w:tcPr>
          <w:p w14:paraId="41A93542">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防火门</w:t>
            </w:r>
          </w:p>
        </w:tc>
        <w:tc>
          <w:tcPr>
            <w:tcW w:w="1625" w:type="pct"/>
            <w:shd w:val="clear" w:color="auto" w:fill="auto"/>
            <w:vAlign w:val="center"/>
          </w:tcPr>
          <w:p w14:paraId="136CEC76">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GB 12955-2008</w:t>
            </w:r>
          </w:p>
        </w:tc>
        <w:tc>
          <w:tcPr>
            <w:tcW w:w="2033" w:type="pct"/>
            <w:shd w:val="clear" w:color="auto" w:fill="auto"/>
            <w:vAlign w:val="center"/>
          </w:tcPr>
          <w:p w14:paraId="54B82948">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防火门</w:t>
            </w:r>
          </w:p>
        </w:tc>
      </w:tr>
      <w:tr w14:paraId="443A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41" w:type="pct"/>
            <w:vMerge w:val="continue"/>
            <w:shd w:val="clear" w:color="auto" w:fill="auto"/>
            <w:vAlign w:val="center"/>
          </w:tcPr>
          <w:p w14:paraId="089BBC02">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p>
        </w:tc>
        <w:tc>
          <w:tcPr>
            <w:tcW w:w="1625" w:type="pct"/>
            <w:shd w:val="clear" w:color="auto" w:fill="auto"/>
            <w:vAlign w:val="center"/>
          </w:tcPr>
          <w:p w14:paraId="598850EC">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GB 12955—2024</w:t>
            </w:r>
          </w:p>
        </w:tc>
        <w:tc>
          <w:tcPr>
            <w:tcW w:w="2033" w:type="pct"/>
            <w:shd w:val="clear" w:color="auto" w:fill="auto"/>
            <w:vAlign w:val="center"/>
          </w:tcPr>
          <w:p w14:paraId="5D95506A">
            <w:pPr>
              <w:keepNext w:val="0"/>
              <w:keepLines w:val="0"/>
              <w:pageBreakBefore w:val="0"/>
              <w:widowControl w:val="0"/>
              <w:kinsoku/>
              <w:wordWrap/>
              <w:overflowPunct/>
              <w:topLinePunct w:val="0"/>
              <w:autoSpaceDE/>
              <w:autoSpaceDN/>
              <w:bidi w:val="0"/>
              <w:adjustRightInd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防火门</w:t>
            </w:r>
          </w:p>
        </w:tc>
      </w:tr>
    </w:tbl>
    <w:p w14:paraId="15CFA642">
      <w:pPr>
        <w:keepNext w:val="0"/>
        <w:keepLines w:val="0"/>
        <w:pageBreakBefore w:val="0"/>
        <w:widowControl w:val="0"/>
        <w:kinsoku/>
        <w:wordWrap/>
        <w:overflowPunct/>
        <w:topLinePunct w:val="0"/>
        <w:autoSpaceDE/>
        <w:autoSpaceDN/>
        <w:bidi w:val="0"/>
        <w:spacing w:line="440" w:lineRule="atLeast"/>
        <w:ind w:left="0" w:leftChars="0"/>
        <w:textAlignment w:val="auto"/>
        <w:rPr>
          <w:rFonts w:hint="eastAsia" w:ascii="Times New Roman" w:hAnsi="Times New Roman" w:eastAsia="黑体" w:cs="仿宋"/>
          <w:bCs/>
          <w:lang w:val="en-GB"/>
        </w:rPr>
      </w:pPr>
    </w:p>
    <w:p w14:paraId="20031564">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黑体" w:cs="仿宋"/>
          <w:bCs/>
          <w:lang w:val="en-GB"/>
        </w:rPr>
      </w:pPr>
      <w:r>
        <w:rPr>
          <w:rFonts w:hint="eastAsia" w:ascii="Times New Roman" w:hAnsi="Times New Roman" w:eastAsia="黑体" w:cs="仿宋"/>
          <w:bCs/>
          <w:lang w:val="en-GB"/>
        </w:rPr>
        <w:t>3</w:t>
      </w:r>
      <w:r>
        <w:rPr>
          <w:rFonts w:hint="eastAsia" w:ascii="Times New Roman" w:hAnsi="Times New Roman" w:eastAsia="黑体" w:cs="仿宋"/>
          <w:bCs/>
          <w:lang w:val="en-US" w:eastAsia="zh-CN"/>
        </w:rPr>
        <w:t xml:space="preserve"> </w:t>
      </w:r>
      <w:r>
        <w:rPr>
          <w:rFonts w:hint="eastAsia" w:ascii="Times New Roman" w:hAnsi="Times New Roman" w:eastAsia="黑体" w:cs="仿宋"/>
          <w:bCs/>
          <w:lang w:val="en-GB"/>
        </w:rPr>
        <w:t>检验依据</w:t>
      </w:r>
    </w:p>
    <w:p w14:paraId="31587166">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cs="仿宋"/>
          <w:lang w:val="en-GB"/>
        </w:rPr>
      </w:pPr>
      <w:r>
        <w:rPr>
          <w:rFonts w:hint="eastAsia" w:ascii="Times New Roman" w:hAnsi="Times New Roman" w:cs="仿宋"/>
          <w:lang w:val="en-GB"/>
        </w:rPr>
        <w:t>表</w:t>
      </w:r>
      <w:r>
        <w:rPr>
          <w:rFonts w:hint="eastAsia" w:ascii="Times New Roman" w:hAnsi="Times New Roman" w:cs="仿宋"/>
        </w:rPr>
        <w:t>2</w:t>
      </w:r>
      <w:r>
        <w:rPr>
          <w:rFonts w:hint="eastAsia" w:ascii="Times New Roman" w:hAnsi="Times New Roman" w:cs="宋体"/>
        </w:rPr>
        <w:t>防</w:t>
      </w:r>
      <w:r>
        <w:rPr>
          <w:rFonts w:hint="eastAsia" w:ascii="Times New Roman" w:hAnsi="Times New Roman" w:eastAsiaTheme="minorEastAsia" w:cstheme="minorEastAsia"/>
        </w:rPr>
        <w:t>火门（</w:t>
      </w:r>
      <w:r>
        <w:rPr>
          <w:rFonts w:hint="eastAsia" w:ascii="Times New Roman" w:hAnsi="Times New Roman" w:eastAsiaTheme="minorEastAsia" w:cstheme="minorEastAsia"/>
          <w:color w:val="000000"/>
        </w:rPr>
        <w:t>GB 12955—2008</w:t>
      </w:r>
      <w:r>
        <w:rPr>
          <w:rFonts w:hint="eastAsia" w:ascii="Times New Roman" w:hAnsi="Times New Roman" w:eastAsiaTheme="minorEastAsia" w:cstheme="minorEastAsia"/>
        </w:rPr>
        <w:t>）</w:t>
      </w:r>
    </w:p>
    <w:tbl>
      <w:tblPr>
        <w:tblStyle w:val="7"/>
        <w:tblpPr w:leftFromText="180" w:rightFromText="180" w:vertAnchor="text" w:horzAnchor="page" w:tblpXSpec="center" w:tblpY="2579"/>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3118"/>
        <w:gridCol w:w="2808"/>
        <w:gridCol w:w="1069"/>
        <w:gridCol w:w="1245"/>
      </w:tblGrid>
      <w:tr w14:paraId="14F2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507" w:type="pct"/>
            <w:vAlign w:val="center"/>
          </w:tcPr>
          <w:p w14:paraId="6183A664">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序号</w:t>
            </w:r>
          </w:p>
        </w:tc>
        <w:tc>
          <w:tcPr>
            <w:tcW w:w="1700" w:type="pct"/>
            <w:vAlign w:val="center"/>
          </w:tcPr>
          <w:p w14:paraId="1293310F">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检验项目</w:t>
            </w:r>
          </w:p>
        </w:tc>
        <w:tc>
          <w:tcPr>
            <w:tcW w:w="1531" w:type="pct"/>
            <w:vAlign w:val="center"/>
          </w:tcPr>
          <w:p w14:paraId="33CDC10D">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检验方法</w:t>
            </w:r>
          </w:p>
        </w:tc>
        <w:tc>
          <w:tcPr>
            <w:tcW w:w="583" w:type="pct"/>
            <w:vAlign w:val="center"/>
          </w:tcPr>
          <w:p w14:paraId="7773D6D4">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rPr>
              <w:t>重要程度分级</w:t>
            </w:r>
          </w:p>
        </w:tc>
        <w:tc>
          <w:tcPr>
            <w:tcW w:w="679" w:type="pct"/>
            <w:vAlign w:val="center"/>
          </w:tcPr>
          <w:p w14:paraId="32056B51">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rPr>
              <w:t>是否为环保指标</w:t>
            </w:r>
          </w:p>
        </w:tc>
      </w:tr>
      <w:tr w14:paraId="2D0F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5295F658">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color w:val="000000"/>
              </w:rPr>
            </w:pPr>
            <w:r>
              <w:rPr>
                <w:rFonts w:ascii="Times New Roman" w:hAnsi="Times New Roman" w:eastAsiaTheme="minorEastAsia" w:cstheme="minorEastAsia"/>
                <w:color w:val="000000"/>
              </w:rPr>
              <w:t>1</w:t>
            </w:r>
          </w:p>
        </w:tc>
        <w:tc>
          <w:tcPr>
            <w:tcW w:w="1700" w:type="pct"/>
            <w:vAlign w:val="center"/>
          </w:tcPr>
          <w:p w14:paraId="5E186B07">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b/>
                <w:bCs/>
              </w:rPr>
            </w:pPr>
            <w:r>
              <w:rPr>
                <w:rFonts w:hint="eastAsia" w:ascii="Times New Roman" w:hAnsi="Times New Roman" w:eastAsiaTheme="minorEastAsia" w:cstheme="minorEastAsia"/>
              </w:rPr>
              <w:t>耐火性能</w:t>
            </w:r>
          </w:p>
        </w:tc>
        <w:tc>
          <w:tcPr>
            <w:tcW w:w="1531" w:type="pct"/>
            <w:vAlign w:val="center"/>
          </w:tcPr>
          <w:p w14:paraId="69CEDC4F">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12955—2024</w:t>
            </w:r>
          </w:p>
          <w:p w14:paraId="3FE6AAB3">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GB/T 7633—2008</w:t>
            </w:r>
          </w:p>
        </w:tc>
        <w:tc>
          <w:tcPr>
            <w:tcW w:w="583" w:type="pct"/>
            <w:vAlign w:val="center"/>
          </w:tcPr>
          <w:p w14:paraId="0F2F735E">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679" w:type="pct"/>
            <w:vAlign w:val="center"/>
          </w:tcPr>
          <w:p w14:paraId="2A698490">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bl>
    <w:tbl>
      <w:tblPr>
        <w:tblStyle w:val="7"/>
        <w:tblpPr w:leftFromText="180" w:rightFromText="180" w:vertAnchor="text" w:horzAnchor="page" w:tblpXSpec="center" w:tblpY="209"/>
        <w:tblOverlap w:val="never"/>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3154"/>
        <w:gridCol w:w="2780"/>
        <w:gridCol w:w="1041"/>
        <w:gridCol w:w="1252"/>
      </w:tblGrid>
      <w:tr w14:paraId="0B306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508" w:type="pct"/>
            <w:vAlign w:val="center"/>
          </w:tcPr>
          <w:p w14:paraId="029AE0D8">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序号</w:t>
            </w:r>
          </w:p>
        </w:tc>
        <w:tc>
          <w:tcPr>
            <w:tcW w:w="1721" w:type="pct"/>
            <w:vAlign w:val="center"/>
          </w:tcPr>
          <w:p w14:paraId="39258174">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检验项目</w:t>
            </w:r>
          </w:p>
        </w:tc>
        <w:tc>
          <w:tcPr>
            <w:tcW w:w="1517" w:type="pct"/>
            <w:vAlign w:val="center"/>
          </w:tcPr>
          <w:p w14:paraId="16E34262">
            <w:pPr>
              <w:keepNext w:val="0"/>
              <w:keepLines w:val="0"/>
              <w:pageBreakBefore w:val="0"/>
              <w:widowControl w:val="0"/>
              <w:kinsoku/>
              <w:wordWrap/>
              <w:overflowPunct/>
              <w:topLinePunct w:val="0"/>
              <w:autoSpaceDE/>
              <w:autoSpaceDN/>
              <w:bidi w:val="0"/>
              <w:spacing w:line="440" w:lineRule="atLeast"/>
              <w:ind w:left="0" w:leftChars="0" w:firstLine="420" w:firstLineChars="20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检验方法</w:t>
            </w:r>
          </w:p>
        </w:tc>
        <w:tc>
          <w:tcPr>
            <w:tcW w:w="568" w:type="pct"/>
            <w:vAlign w:val="center"/>
          </w:tcPr>
          <w:p w14:paraId="7595DB2C">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重要程度分级</w:t>
            </w:r>
          </w:p>
        </w:tc>
        <w:tc>
          <w:tcPr>
            <w:tcW w:w="683" w:type="pct"/>
            <w:vAlign w:val="center"/>
          </w:tcPr>
          <w:p w14:paraId="459F3360">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是否为环保指标</w:t>
            </w:r>
          </w:p>
        </w:tc>
      </w:tr>
      <w:tr w14:paraId="7C22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508" w:type="pct"/>
            <w:vAlign w:val="center"/>
          </w:tcPr>
          <w:p w14:paraId="5DB36919">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1</w:t>
            </w:r>
          </w:p>
        </w:tc>
        <w:tc>
          <w:tcPr>
            <w:tcW w:w="1721" w:type="pct"/>
            <w:vAlign w:val="center"/>
          </w:tcPr>
          <w:p w14:paraId="1DECB1D3">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耐火性能</w:t>
            </w:r>
          </w:p>
        </w:tc>
        <w:tc>
          <w:tcPr>
            <w:tcW w:w="1517" w:type="pct"/>
            <w:vAlign w:val="center"/>
          </w:tcPr>
          <w:p w14:paraId="4BE80D3B">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12955-2008/6.12</w:t>
            </w:r>
          </w:p>
        </w:tc>
        <w:tc>
          <w:tcPr>
            <w:tcW w:w="568" w:type="pct"/>
            <w:vAlign w:val="center"/>
          </w:tcPr>
          <w:p w14:paraId="2F5C0FF2">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683" w:type="pct"/>
            <w:vAlign w:val="center"/>
          </w:tcPr>
          <w:p w14:paraId="2D794E88">
            <w:pPr>
              <w:keepNext w:val="0"/>
              <w:keepLines w:val="0"/>
              <w:pageBreakBefore w:val="0"/>
              <w:widowControl w:val="0"/>
              <w:kinsoku/>
              <w:wordWrap/>
              <w:overflowPunct/>
              <w:topLinePunct w:val="0"/>
              <w:autoSpaceDE/>
              <w:autoSpaceDN/>
              <w:bidi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bl>
    <w:p w14:paraId="5F9FE5A0">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hint="eastAsia" w:ascii="Times New Roman" w:hAnsi="Times New Roman" w:cs="宋体"/>
        </w:rPr>
      </w:pPr>
      <w:bookmarkStart w:id="0" w:name="_GoBack"/>
      <w:bookmarkEnd w:id="0"/>
    </w:p>
    <w:p w14:paraId="122385F8">
      <w:pPr>
        <w:keepNext w:val="0"/>
        <w:keepLines w:val="0"/>
        <w:pageBreakBefore w:val="0"/>
        <w:widowControl w:val="0"/>
        <w:kinsoku/>
        <w:wordWrap/>
        <w:overflowPunct/>
        <w:topLinePunct w:val="0"/>
        <w:autoSpaceDE/>
        <w:autoSpaceDN/>
        <w:bidi w:val="0"/>
        <w:snapToGrid w:val="0"/>
        <w:spacing w:line="440" w:lineRule="atLeast"/>
        <w:ind w:left="0" w:leftChars="0"/>
        <w:jc w:val="center"/>
        <w:textAlignment w:val="auto"/>
        <w:rPr>
          <w:rFonts w:ascii="Times New Roman" w:hAnsi="Times New Roman" w:eastAsiaTheme="minorEastAsia" w:cstheme="minorEastAsia"/>
        </w:rPr>
      </w:pPr>
      <w:r>
        <w:rPr>
          <w:rFonts w:hint="eastAsia" w:ascii="Times New Roman" w:hAnsi="Times New Roman" w:cs="宋体"/>
        </w:rPr>
        <w:t>表3 防</w:t>
      </w:r>
      <w:r>
        <w:rPr>
          <w:rFonts w:hint="eastAsia" w:ascii="Times New Roman" w:hAnsi="Times New Roman" w:eastAsiaTheme="minorEastAsia" w:cstheme="minorEastAsia"/>
        </w:rPr>
        <w:t>火门（</w:t>
      </w:r>
      <w:r>
        <w:rPr>
          <w:rFonts w:hint="eastAsia" w:ascii="Times New Roman" w:hAnsi="Times New Roman" w:eastAsiaTheme="minorEastAsia" w:cstheme="minorEastAsia"/>
          <w:color w:val="000000"/>
        </w:rPr>
        <w:t>GB 12955—2024</w:t>
      </w:r>
      <w:r>
        <w:rPr>
          <w:rFonts w:hint="eastAsia" w:ascii="Times New Roman" w:hAnsi="Times New Roman" w:eastAsiaTheme="minorEastAsia" w:cstheme="minorEastAsia"/>
        </w:rPr>
        <w:t>）</w:t>
      </w:r>
    </w:p>
    <w:p w14:paraId="23A2E6EE">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cs="宋体"/>
          <w:color w:val="000000"/>
        </w:rPr>
      </w:pPr>
    </w:p>
    <w:p w14:paraId="3A99EDEC">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cs="宋体"/>
          <w:color w:val="000000"/>
        </w:rPr>
      </w:pPr>
    </w:p>
    <w:p w14:paraId="36FC29AE">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cs="宋体"/>
          <w:color w:val="000000"/>
        </w:rPr>
      </w:pPr>
    </w:p>
    <w:p w14:paraId="6FEF9D7D">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ascii="Times New Roman" w:hAnsi="Times New Roman" w:cs="宋体"/>
          <w:color w:val="000000"/>
        </w:rPr>
      </w:pPr>
      <w:r>
        <w:rPr>
          <w:rFonts w:hint="eastAsia" w:ascii="Times New Roman" w:hAnsi="Times New Roman" w:cs="宋体"/>
          <w:color w:val="000000"/>
        </w:rPr>
        <w:t>重要程度分级：A类-极重要质量项目，是指直接涉及影响人身健康、安全的指标；B类-重要质量项目，是指产品涉及环保、能效、关键或特征性指标等；C</w:t>
      </w:r>
      <w:r>
        <w:rPr>
          <w:rFonts w:ascii="Times New Roman" w:hAnsi="Times New Roman" w:cs="宋体"/>
          <w:color w:val="000000"/>
        </w:rPr>
        <w:t>-</w:t>
      </w:r>
      <w:r>
        <w:rPr>
          <w:rFonts w:hint="eastAsia" w:ascii="Times New Roman" w:hAnsi="Times New Roman" w:cs="宋体"/>
          <w:color w:val="000000"/>
        </w:rPr>
        <w:t>一般质量项目，外观、尺寸等不直接影响产品使用的指标。</w:t>
      </w:r>
    </w:p>
    <w:p w14:paraId="5679AA76">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凡是注日期的文件，其随后所有的修改单（不包括勘误的内容）或修订版不适用。凡是不注日期的文件，其最新版适用。</w:t>
      </w:r>
    </w:p>
    <w:p w14:paraId="148D59FF">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4" w:firstLineChars="202"/>
        <w:textAlignment w:val="auto"/>
        <w:rPr>
          <w:rFonts w:ascii="Times New Roman" w:hAnsi="Times New Roman" w:cs="宋体"/>
        </w:rPr>
      </w:pPr>
      <w:r>
        <w:rPr>
          <w:rFonts w:hint="eastAsia" w:ascii="Times New Roman" w:hAnsi="Times New Roman" w:cs="宋体"/>
        </w:rPr>
        <w:t>执行企业标准、团体标准、地方标准的产品，检验项目参照上述内容执行。</w:t>
      </w:r>
    </w:p>
    <w:p w14:paraId="0DC2390C">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cs="宋体"/>
          <w:color w:val="000000"/>
        </w:rPr>
      </w:pPr>
      <w:r>
        <w:rPr>
          <w:rFonts w:hint="eastAsia" w:ascii="Times New Roman" w:hAnsi="Times New Roman" w:cs="宋体"/>
          <w:color w:val="000000"/>
        </w:rPr>
        <w:t>依照有关规定或产品适用标准，需要检测的其他项目，可视情况进行调整。</w:t>
      </w:r>
    </w:p>
    <w:p w14:paraId="1301680D">
      <w:pPr>
        <w:keepNext w:val="0"/>
        <w:keepLines w:val="0"/>
        <w:pageBreakBefore w:val="0"/>
        <w:widowControl w:val="0"/>
        <w:kinsoku/>
        <w:wordWrap/>
        <w:overflowPunct/>
        <w:topLinePunct w:val="0"/>
        <w:autoSpaceDE/>
        <w:autoSpaceDN/>
        <w:bidi w:val="0"/>
        <w:adjustRightInd w:val="0"/>
        <w:snapToGrid w:val="0"/>
        <w:spacing w:line="440" w:lineRule="atLeast"/>
        <w:ind w:left="0" w:leftChars="0" w:firstLine="420" w:firstLineChars="200"/>
        <w:textAlignment w:val="auto"/>
        <w:rPr>
          <w:rFonts w:hint="eastAsia" w:ascii="Times New Roman" w:hAnsi="Times New Roman" w:cs="宋体"/>
          <w:color w:val="000000"/>
        </w:rPr>
      </w:pPr>
    </w:p>
    <w:p w14:paraId="6F1337AE">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黑体"/>
          <w:color w:val="000000"/>
        </w:rPr>
      </w:pPr>
      <w:r>
        <w:rPr>
          <w:rFonts w:hint="eastAsia" w:ascii="Times New Roman" w:hAnsi="Times New Roman" w:eastAsia="黑体"/>
          <w:color w:val="000000"/>
        </w:rPr>
        <w:t>4</w:t>
      </w:r>
      <w:r>
        <w:rPr>
          <w:rFonts w:hint="eastAsia" w:ascii="Times New Roman" w:hAnsi="Times New Roman" w:eastAsia="黑体"/>
          <w:color w:val="000000"/>
          <w:lang w:val="en-US" w:eastAsia="zh-CN"/>
        </w:rPr>
        <w:t xml:space="preserve"> </w:t>
      </w:r>
      <w:r>
        <w:rPr>
          <w:rFonts w:hint="eastAsia" w:ascii="Times New Roman" w:hAnsi="Times New Roman" w:eastAsia="黑体"/>
          <w:color w:val="000000"/>
        </w:rPr>
        <w:t>判定规则</w:t>
      </w:r>
    </w:p>
    <w:p w14:paraId="4F4C0280">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4.1依据标准</w:t>
      </w:r>
    </w:p>
    <w:p w14:paraId="3208BEBE">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GB 12955-2008 防火门</w:t>
      </w:r>
    </w:p>
    <w:p w14:paraId="148A5B7D">
      <w:pPr>
        <w:pStyle w:val="2"/>
        <w:keepNext w:val="0"/>
        <w:keepLines w:val="0"/>
        <w:pageBreakBefore w:val="0"/>
        <w:widowControl w:val="0"/>
        <w:kinsoku/>
        <w:wordWrap/>
        <w:overflowPunct/>
        <w:topLinePunct w:val="0"/>
        <w:autoSpaceDE/>
        <w:autoSpaceDN/>
        <w:bidi w:val="0"/>
        <w:spacing w:after="0" w:line="440" w:lineRule="atLeast"/>
        <w:ind w:left="0" w:leftChars="0" w:firstLine="420" w:firstLineChars="200"/>
        <w:textAlignment w:val="auto"/>
        <w:rPr>
          <w:rFonts w:ascii="Times New Roman" w:hAnsi="Times New Roman" w:eastAsiaTheme="minorEastAsia" w:cstheme="minorEastAsia"/>
          <w:color w:val="000000"/>
          <w:szCs w:val="21"/>
        </w:rPr>
      </w:pPr>
      <w:r>
        <w:rPr>
          <w:rFonts w:hint="eastAsia" w:ascii="Times New Roman" w:hAnsi="Times New Roman" w:eastAsiaTheme="minorEastAsia" w:cstheme="minorEastAsia"/>
          <w:color w:val="000000"/>
          <w:szCs w:val="21"/>
        </w:rPr>
        <w:t>GB 12955—2024 防火门</w:t>
      </w:r>
    </w:p>
    <w:p w14:paraId="1AE4836F">
      <w:pPr>
        <w:pStyle w:val="2"/>
        <w:keepNext w:val="0"/>
        <w:keepLines w:val="0"/>
        <w:pageBreakBefore w:val="0"/>
        <w:widowControl w:val="0"/>
        <w:kinsoku/>
        <w:wordWrap/>
        <w:overflowPunct/>
        <w:topLinePunct w:val="0"/>
        <w:autoSpaceDE/>
        <w:autoSpaceDN/>
        <w:bidi w:val="0"/>
        <w:spacing w:after="0" w:line="440" w:lineRule="atLeast"/>
        <w:ind w:left="0" w:leftChars="0" w:firstLine="420" w:firstLineChars="200"/>
        <w:textAlignment w:val="auto"/>
        <w:rPr>
          <w:rFonts w:ascii="Times New Roman" w:hAnsi="Times New Roman" w:eastAsiaTheme="minorEastAsia" w:cstheme="minorEastAsia"/>
          <w:color w:val="000000"/>
          <w:szCs w:val="21"/>
        </w:rPr>
      </w:pPr>
      <w:r>
        <w:rPr>
          <w:rFonts w:hint="eastAsia" w:ascii="Times New Roman" w:hAnsi="Times New Roman" w:eastAsiaTheme="minorEastAsia" w:cstheme="minorEastAsia"/>
          <w:color w:val="000000"/>
          <w:szCs w:val="21"/>
        </w:rPr>
        <w:t>现行有效的企业标准、团体标准、地方标准及产品明示质量要求等。</w:t>
      </w:r>
    </w:p>
    <w:p w14:paraId="4B92F591">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eastAsiaTheme="minorEastAsia" w:cstheme="minorEastAsia"/>
          <w:color w:val="000000"/>
        </w:rPr>
      </w:pPr>
      <w:r>
        <w:rPr>
          <w:rFonts w:hint="eastAsia" w:ascii="Times New Roman" w:hAnsi="Times New Roman" w:eastAsiaTheme="minorEastAsia" w:cstheme="minorEastAsia"/>
          <w:color w:val="000000"/>
        </w:rPr>
        <w:t>4.2判定原则</w:t>
      </w:r>
    </w:p>
    <w:p w14:paraId="5FE39703">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eastAsiaTheme="minorEastAsia" w:cstheme="minorEastAsia"/>
          <w:color w:val="000000"/>
        </w:rPr>
        <w:t>单项判</w:t>
      </w:r>
      <w:r>
        <w:rPr>
          <w:rFonts w:hint="eastAsia" w:ascii="Times New Roman" w:hAnsi="Times New Roman"/>
          <w:color w:val="000000"/>
        </w:rPr>
        <w:t>定：经检验，任一项目中全部参数合格，判定该项目合格；任一项目中有一个或一个以上参数不合格，判定该项目不合格。</w:t>
      </w:r>
    </w:p>
    <w:p w14:paraId="3925380A">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综合判定：</w:t>
      </w:r>
      <w:r>
        <w:rPr>
          <w:rFonts w:ascii="Times New Roman" w:hAnsi="Times New Roman"/>
          <w:color w:val="000000"/>
        </w:rPr>
        <w:t>经检验，检验项目全部合格，判定为被抽查产品所检项目未发现不合格</w:t>
      </w:r>
      <w:r>
        <w:rPr>
          <w:rFonts w:hint="eastAsia" w:ascii="Times New Roman" w:hAnsi="Times New Roman"/>
          <w:color w:val="000000"/>
        </w:rPr>
        <w:t>；检验项目中有任一项或一项以上不合格，判定为被抽查产品不合格。</w:t>
      </w:r>
    </w:p>
    <w:p w14:paraId="63E3AB53">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若被检产品明示的质量要求高于本细则中检验项目依据的标准要求时，应按被检产品明示的质量要求判定。</w:t>
      </w:r>
    </w:p>
    <w:p w14:paraId="30308B3C">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若被检产品明示的质量要求低于本细则中检验项目依据的强制性标准要求时，应按照强制性标准要求判定。</w:t>
      </w:r>
    </w:p>
    <w:p w14:paraId="515A4ED8">
      <w:pPr>
        <w:keepNext w:val="0"/>
        <w:keepLines w:val="0"/>
        <w:pageBreakBefore w:val="0"/>
        <w:widowControl w:val="0"/>
        <w:kinsoku/>
        <w:wordWrap/>
        <w:overflowPunct/>
        <w:topLinePunct w:val="0"/>
        <w:autoSpaceDE/>
        <w:autoSpaceDN/>
        <w:bidi w:val="0"/>
        <w:spacing w:line="440" w:lineRule="atLeast"/>
        <w:ind w:left="0" w:leftChars="0" w:firstLine="420" w:firstLineChars="200"/>
        <w:textAlignment w:val="auto"/>
        <w:rPr>
          <w:rFonts w:ascii="Times New Roman" w:hAnsi="Times New Roman"/>
          <w:color w:val="000000"/>
        </w:rPr>
      </w:pPr>
      <w:r>
        <w:rPr>
          <w:rFonts w:hint="eastAsia" w:ascii="Times New Roman" w:hAnsi="Times New Roman"/>
          <w:color w:val="000000"/>
        </w:rPr>
        <w:t>若被检产品明示的质量要求缺少本细则中检验项目依据的强制性标准要求时，应按照强制性标准要求判定。</w:t>
      </w:r>
    </w:p>
    <w:p w14:paraId="1B1F4CA2">
      <w:pPr>
        <w:keepNext w:val="0"/>
        <w:keepLines w:val="0"/>
        <w:pageBreakBefore w:val="0"/>
        <w:widowControl w:val="0"/>
        <w:kinsoku/>
        <w:wordWrap/>
        <w:overflowPunct/>
        <w:topLinePunct w:val="0"/>
        <w:autoSpaceDE/>
        <w:autoSpaceDN/>
        <w:bidi w:val="0"/>
        <w:spacing w:line="440" w:lineRule="atLeast"/>
        <w:ind w:left="0" w:leftChars="0"/>
        <w:textAlignment w:val="auto"/>
        <w:rPr>
          <w:rFonts w:ascii="Times New Roman" w:hAnsi="Times New Roman"/>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1NjM4ODI3ZmNkOGUwOTIwZTBkYWYxYmU0NTQ3ZTgifQ=="/>
  </w:docVars>
  <w:rsids>
    <w:rsidRoot w:val="00907414"/>
    <w:rsid w:val="00032555"/>
    <w:rsid w:val="000C7A6C"/>
    <w:rsid w:val="0014468C"/>
    <w:rsid w:val="00495F08"/>
    <w:rsid w:val="0050118B"/>
    <w:rsid w:val="0057498A"/>
    <w:rsid w:val="00596D91"/>
    <w:rsid w:val="00603951"/>
    <w:rsid w:val="0069105A"/>
    <w:rsid w:val="0081089A"/>
    <w:rsid w:val="008B5716"/>
    <w:rsid w:val="00907414"/>
    <w:rsid w:val="00AB1024"/>
    <w:rsid w:val="00BC1E8D"/>
    <w:rsid w:val="00BC5D05"/>
    <w:rsid w:val="00BD5354"/>
    <w:rsid w:val="00C23905"/>
    <w:rsid w:val="00C3186E"/>
    <w:rsid w:val="00CC2FC8"/>
    <w:rsid w:val="00DC5115"/>
    <w:rsid w:val="00E6426E"/>
    <w:rsid w:val="01D36195"/>
    <w:rsid w:val="0C6F608E"/>
    <w:rsid w:val="1C161DDD"/>
    <w:rsid w:val="2DBA0995"/>
    <w:rsid w:val="48CC5690"/>
    <w:rsid w:val="52104D72"/>
    <w:rsid w:val="6D922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spacing w:after="160" w:line="278" w:lineRule="auto"/>
      <w:ind w:left="420" w:leftChars="200"/>
    </w:pPr>
    <w:rPr>
      <w:szCs w:val="22"/>
    </w:rPr>
  </w:style>
  <w:style w:type="paragraph" w:styleId="3">
    <w:name w:val="Plain Text"/>
    <w:basedOn w:val="1"/>
    <w:link w:val="12"/>
    <w:semiHidden/>
    <w:unhideWhenUsed/>
    <w:qFormat/>
    <w:uiPriority w:val="99"/>
    <w:rPr>
      <w:rFonts w:ascii="宋体" w:hAnsi="Courier New"/>
      <w:kern w:val="0"/>
      <w:sz w:val="20"/>
      <w:szCs w:val="20"/>
    </w:rPr>
  </w:style>
  <w:style w:type="paragraph" w:styleId="4">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纯文本 Char"/>
    <w:basedOn w:val="9"/>
    <w:link w:val="3"/>
    <w:semiHidden/>
    <w:qFormat/>
    <w:uiPriority w:val="99"/>
    <w:rPr>
      <w:rFonts w:ascii="宋体" w:hAnsi="Courier New" w:eastAsia="宋体" w:cs="Times New Roman"/>
      <w:kern w:val="0"/>
      <w:sz w:val="20"/>
      <w:szCs w:val="20"/>
    </w:rPr>
  </w:style>
  <w:style w:type="paragraph" w:customStyle="1" w:styleId="13">
    <w:name w:val="列表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2</Pages>
  <Words>436</Words>
  <Characters>506</Characters>
  <Lines>30</Lines>
  <Paragraphs>8</Paragraphs>
  <TotalTime>3</TotalTime>
  <ScaleCrop>false</ScaleCrop>
  <LinksUpToDate>false</LinksUpToDate>
  <CharactersWithSpaces>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2025-08-25T00:52:00Z</dcterms:created>
  <dc:creator>微软用户</dc:creator>
  <cp:lastModifiedBy>赢在行动</cp:lastModifiedBy>
  <dcterms:modified xsi:type="dcterms:W3CDTF">2025-08-29T08:10:10Z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797DF6731C944D76901B070AA0FBCB81_13</vt:lpwstr>
  </property>
  <property fmtid="{D5CDD505-2E9C-101B-9397-08002B2CF9AE}" pid="4" name="KSOTemplateDocerSaveRecord">
    <vt:lpwstr>eyJoZGlkIjoiMTY3NDRjNDA3ZTliYmUxMWY5Y2ExZDRiODEwNDI4N2YiLCJ1c2VySWQiOiIyMTkxODIwMjYifQ==</vt:lpwstr>
  </property>
</Properties>
</file>