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2E63A">
      <w:pPr>
        <w:keepNext w:val="0"/>
        <w:keepLines w:val="0"/>
        <w:pageBreakBefore w:val="0"/>
        <w:kinsoku/>
        <w:wordWrap/>
        <w:overflowPunct/>
        <w:topLinePunct w:val="0"/>
        <w:bidi w:val="0"/>
        <w:adjustRightInd w:val="0"/>
        <w:snapToGrid w:val="0"/>
        <w:spacing w:line="440" w:lineRule="exact"/>
        <w:jc w:val="center"/>
        <w:textAlignment w:val="auto"/>
        <w:rPr>
          <w:rFonts w:hint="eastAsia" w:ascii="方正小标宋简体" w:hAnsi="方正小标宋简体" w:eastAsia="方正小标宋简体" w:cs="方正仿宋简体"/>
          <w:sz w:val="32"/>
          <w:szCs w:val="32"/>
          <w:lang w:eastAsia="zh-CN"/>
        </w:rPr>
      </w:pPr>
      <w:bookmarkStart w:id="5" w:name="_GoBack"/>
      <w:r>
        <w:rPr>
          <w:rFonts w:hint="eastAsia" w:ascii="方正小标宋简体" w:hAnsi="方正小标宋简体" w:eastAsia="方正小标宋简体" w:cs="方正仿宋简体"/>
          <w:sz w:val="32"/>
          <w:szCs w:val="32"/>
        </w:rPr>
        <w:t>唐山市消防应急灯具产品质量监督抽查实施细则</w:t>
      </w:r>
      <w:r>
        <w:rPr>
          <w:rFonts w:hint="eastAsia" w:ascii="方正小标宋简体" w:hAnsi="方正小标宋简体" w:eastAsia="方正小标宋简体" w:cs="方正仿宋简体"/>
          <w:sz w:val="32"/>
          <w:szCs w:val="32"/>
          <w:lang w:eastAsia="zh-CN"/>
        </w:rPr>
        <w:t>（</w:t>
      </w:r>
      <w:r>
        <w:rPr>
          <w:rFonts w:hint="eastAsia" w:ascii="方正小标宋简体" w:hAnsi="方正小标宋简体" w:eastAsia="方正小标宋简体" w:cs="方正仿宋简体"/>
          <w:sz w:val="32"/>
          <w:szCs w:val="32"/>
          <w:lang w:val="en-US" w:eastAsia="zh-CN"/>
        </w:rPr>
        <w:t>2025年版</w:t>
      </w:r>
      <w:r>
        <w:rPr>
          <w:rFonts w:hint="eastAsia" w:ascii="方正小标宋简体" w:hAnsi="方正小标宋简体" w:eastAsia="方正小标宋简体" w:cs="方正仿宋简体"/>
          <w:sz w:val="32"/>
          <w:szCs w:val="32"/>
          <w:lang w:eastAsia="zh-CN"/>
        </w:rPr>
        <w:t>）</w:t>
      </w:r>
      <w:bookmarkEnd w:id="5"/>
    </w:p>
    <w:p w14:paraId="3F2621B5">
      <w:pPr>
        <w:pStyle w:val="2"/>
        <w:rPr>
          <w:rFonts w:hint="eastAsia"/>
          <w:lang w:eastAsia="zh-CN"/>
        </w:rPr>
      </w:pPr>
    </w:p>
    <w:p w14:paraId="5FD6FAD6">
      <w:pPr>
        <w:keepNext w:val="0"/>
        <w:keepLines w:val="0"/>
        <w:pageBreakBefore w:val="0"/>
        <w:kinsoku/>
        <w:wordWrap/>
        <w:overflowPunct/>
        <w:topLinePunct w:val="0"/>
        <w:bidi w:val="0"/>
        <w:spacing w:line="440" w:lineRule="exact"/>
        <w:textAlignment w:val="auto"/>
        <w:rPr>
          <w:rFonts w:hint="eastAsia" w:ascii="黑体" w:hAnsi="黑体" w:eastAsia="黑体" w:cs="黑体"/>
          <w:bCs/>
          <w:szCs w:val="21"/>
          <w:lang w:val="en-GB"/>
        </w:rPr>
      </w:pPr>
      <w:r>
        <w:rPr>
          <w:rFonts w:hint="eastAsia" w:ascii="黑体" w:hAnsi="黑体" w:eastAsia="黑体" w:cs="黑体"/>
          <w:bCs/>
          <w:szCs w:val="21"/>
          <w:lang w:val="en-GB"/>
        </w:rPr>
        <w:t>1</w:t>
      </w:r>
      <w:r>
        <w:rPr>
          <w:rFonts w:hint="eastAsia" w:ascii="黑体" w:hAnsi="黑体" w:eastAsia="黑体" w:cs="黑体"/>
          <w:bCs/>
          <w:szCs w:val="21"/>
          <w:lang w:val="en-US" w:eastAsia="zh-CN"/>
        </w:rPr>
        <w:t xml:space="preserve"> </w:t>
      </w:r>
      <w:r>
        <w:rPr>
          <w:rFonts w:hint="eastAsia" w:ascii="黑体" w:hAnsi="黑体" w:eastAsia="黑体" w:cs="黑体"/>
          <w:bCs/>
          <w:szCs w:val="21"/>
          <w:lang w:val="en-GB"/>
        </w:rPr>
        <w:t>抽样方法</w:t>
      </w:r>
    </w:p>
    <w:p w14:paraId="315BAE21">
      <w:pPr>
        <w:keepNext w:val="0"/>
        <w:keepLines w:val="0"/>
        <w:pageBreakBefore w:val="0"/>
        <w:kinsoku/>
        <w:wordWrap/>
        <w:overflowPunct/>
        <w:topLinePunct w:val="0"/>
        <w:bidi w:val="0"/>
        <w:snapToGrid w:val="0"/>
        <w:spacing w:line="440" w:lineRule="exact"/>
        <w:ind w:firstLine="420" w:firstLineChars="200"/>
        <w:textAlignment w:val="auto"/>
        <w:rPr>
          <w:rFonts w:ascii="Times New Roman" w:hAnsi="Times New Roman"/>
          <w:szCs w:val="21"/>
        </w:rPr>
      </w:pPr>
      <w:bookmarkStart w:id="0" w:name="_Hlk29541365"/>
      <w:r>
        <w:rPr>
          <w:rFonts w:ascii="Times New Roman" w:hAnsi="Times New Roman"/>
          <w:szCs w:val="21"/>
        </w:rPr>
        <w:t>以随机抽样的方式在</w:t>
      </w:r>
      <w:r>
        <w:rPr>
          <w:rFonts w:hint="eastAsia" w:ascii="Times New Roman" w:hAnsi="Times New Roman"/>
          <w:szCs w:val="21"/>
        </w:rPr>
        <w:t>出厂检验合格的</w:t>
      </w:r>
      <w:r>
        <w:rPr>
          <w:rFonts w:ascii="Times New Roman" w:hAnsi="Times New Roman"/>
          <w:szCs w:val="21"/>
        </w:rPr>
        <w:t>待销产品中抽取。</w:t>
      </w:r>
      <w:bookmarkEnd w:id="0"/>
    </w:p>
    <w:p w14:paraId="320BCA5B">
      <w:pPr>
        <w:keepNext w:val="0"/>
        <w:keepLines w:val="0"/>
        <w:pageBreakBefore w:val="0"/>
        <w:kinsoku/>
        <w:wordWrap/>
        <w:overflowPunct/>
        <w:topLinePunct w:val="0"/>
        <w:bidi w:val="0"/>
        <w:spacing w:line="440" w:lineRule="exact"/>
        <w:ind w:firstLine="420" w:firstLineChars="200"/>
        <w:textAlignment w:val="auto"/>
        <w:rPr>
          <w:rFonts w:hint="eastAsia" w:ascii="Times New Roman" w:hAnsi="Times New Roman" w:cs="仿宋"/>
          <w:szCs w:val="21"/>
          <w:lang w:val="en-GB"/>
        </w:rPr>
      </w:pPr>
      <w:r>
        <w:rPr>
          <w:rFonts w:hint="eastAsia" w:ascii="Times New Roman" w:hAnsi="Times New Roman" w:cs="仿宋"/>
          <w:szCs w:val="21"/>
          <w:lang w:val="en-GB"/>
        </w:rPr>
        <w:t>每批次产品抽取样品4台，其中2台作为检验样品，2台作为备用样品。</w:t>
      </w:r>
    </w:p>
    <w:p w14:paraId="5002E6C8">
      <w:pPr>
        <w:keepNext w:val="0"/>
        <w:keepLines w:val="0"/>
        <w:pageBreakBefore w:val="0"/>
        <w:kinsoku/>
        <w:wordWrap/>
        <w:overflowPunct/>
        <w:topLinePunct w:val="0"/>
        <w:bidi w:val="0"/>
        <w:spacing w:line="440" w:lineRule="exact"/>
        <w:textAlignment w:val="auto"/>
        <w:rPr>
          <w:rFonts w:hint="eastAsia" w:ascii="Times New Roman" w:hAnsi="Times New Roman" w:eastAsia="黑体" w:cs="仿宋"/>
          <w:bCs/>
          <w:szCs w:val="21"/>
          <w:lang w:val="en-GB"/>
        </w:rPr>
      </w:pPr>
    </w:p>
    <w:p w14:paraId="2BE0FF05">
      <w:pPr>
        <w:keepNext w:val="0"/>
        <w:keepLines w:val="0"/>
        <w:pageBreakBefore w:val="0"/>
        <w:kinsoku/>
        <w:wordWrap/>
        <w:overflowPunct/>
        <w:topLinePunct w:val="0"/>
        <w:bidi w:val="0"/>
        <w:spacing w:line="440" w:lineRule="exact"/>
        <w:textAlignment w:val="auto"/>
        <w:rPr>
          <w:rFonts w:ascii="Times New Roman" w:hAnsi="Times New Roman" w:eastAsia="黑体" w:cs="仿宋"/>
          <w:bCs/>
          <w:szCs w:val="21"/>
          <w:lang w:val="en-GB"/>
        </w:rPr>
      </w:pPr>
      <w:r>
        <w:rPr>
          <w:rFonts w:hint="eastAsia" w:ascii="黑体" w:hAnsi="黑体" w:eastAsia="黑体" w:cs="黑体"/>
          <w:bCs/>
          <w:szCs w:val="21"/>
          <w:lang w:val="en-GB"/>
        </w:rPr>
        <w:t>2</w:t>
      </w:r>
      <w:r>
        <w:rPr>
          <w:rFonts w:hint="eastAsia" w:ascii="黑体" w:hAnsi="黑体" w:eastAsia="黑体" w:cs="黑体"/>
          <w:bCs/>
          <w:szCs w:val="21"/>
          <w:lang w:val="en-US" w:eastAsia="zh-CN"/>
        </w:rPr>
        <w:t xml:space="preserve"> </w:t>
      </w:r>
      <w:r>
        <w:rPr>
          <w:rFonts w:hint="eastAsia" w:ascii="黑体" w:hAnsi="黑体" w:eastAsia="黑体" w:cs="黑体"/>
          <w:bCs/>
          <w:szCs w:val="21"/>
          <w:lang w:val="en-GB"/>
        </w:rPr>
        <w:t>抽查产品名称及执行标准</w:t>
      </w:r>
    </w:p>
    <w:p w14:paraId="465755CC">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本次抽查的产品名称主要为：消防应急灯具，产品执行标准见下表。</w:t>
      </w:r>
    </w:p>
    <w:p w14:paraId="416C3D6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lang w:val="en-GB"/>
        </w:rPr>
        <w:t>表</w:t>
      </w:r>
      <w:r>
        <w:rPr>
          <w:rFonts w:hint="eastAsia" w:ascii="Times New Roman" w:hAnsi="Times New Roman" w:cs="仿宋"/>
          <w:szCs w:val="21"/>
        </w:rPr>
        <w:t>1 产品名称及执行标准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2006"/>
        <w:gridCol w:w="2143"/>
        <w:gridCol w:w="3172"/>
      </w:tblGrid>
      <w:tr w14:paraId="6639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63" w:type="dxa"/>
            <w:shd w:val="clear" w:color="auto" w:fill="auto"/>
            <w:vAlign w:val="center"/>
          </w:tcPr>
          <w:p w14:paraId="65E36BBF">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序号</w:t>
            </w:r>
          </w:p>
        </w:tc>
        <w:tc>
          <w:tcPr>
            <w:tcW w:w="2006" w:type="dxa"/>
            <w:shd w:val="clear" w:color="auto" w:fill="auto"/>
            <w:vAlign w:val="center"/>
          </w:tcPr>
          <w:p w14:paraId="066C1ABC">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产品名称</w:t>
            </w:r>
          </w:p>
        </w:tc>
        <w:tc>
          <w:tcPr>
            <w:tcW w:w="2143" w:type="dxa"/>
            <w:shd w:val="clear" w:color="auto" w:fill="auto"/>
            <w:vAlign w:val="center"/>
          </w:tcPr>
          <w:p w14:paraId="71B91AAA">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标准编号</w:t>
            </w:r>
          </w:p>
        </w:tc>
        <w:tc>
          <w:tcPr>
            <w:tcW w:w="3172" w:type="dxa"/>
            <w:shd w:val="clear" w:color="auto" w:fill="auto"/>
            <w:vAlign w:val="center"/>
          </w:tcPr>
          <w:p w14:paraId="5FB5A2C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标准名称</w:t>
            </w:r>
          </w:p>
        </w:tc>
      </w:tr>
      <w:tr w14:paraId="762A7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63" w:type="dxa"/>
            <w:shd w:val="clear" w:color="auto" w:fill="auto"/>
            <w:vAlign w:val="center"/>
          </w:tcPr>
          <w:p w14:paraId="161FD92F">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1</w:t>
            </w:r>
          </w:p>
        </w:tc>
        <w:tc>
          <w:tcPr>
            <w:tcW w:w="2006" w:type="dxa"/>
            <w:shd w:val="clear" w:color="auto" w:fill="auto"/>
            <w:vAlign w:val="center"/>
          </w:tcPr>
          <w:p w14:paraId="1FD657F4">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消防应急灯具</w:t>
            </w:r>
          </w:p>
        </w:tc>
        <w:tc>
          <w:tcPr>
            <w:tcW w:w="2143" w:type="dxa"/>
            <w:shd w:val="clear" w:color="auto" w:fill="auto"/>
            <w:vAlign w:val="center"/>
          </w:tcPr>
          <w:p w14:paraId="2060165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17945-2024</w:t>
            </w:r>
          </w:p>
        </w:tc>
        <w:tc>
          <w:tcPr>
            <w:tcW w:w="3172" w:type="dxa"/>
            <w:shd w:val="clear" w:color="auto" w:fill="auto"/>
            <w:vAlign w:val="center"/>
          </w:tcPr>
          <w:p w14:paraId="45593B89">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消防应急照明和疏散指示系统</w:t>
            </w:r>
          </w:p>
        </w:tc>
      </w:tr>
    </w:tbl>
    <w:p w14:paraId="6CEA3EB5">
      <w:pPr>
        <w:keepNext w:val="0"/>
        <w:keepLines w:val="0"/>
        <w:pageBreakBefore w:val="0"/>
        <w:kinsoku/>
        <w:wordWrap/>
        <w:overflowPunct/>
        <w:topLinePunct w:val="0"/>
        <w:bidi w:val="0"/>
        <w:spacing w:line="440" w:lineRule="exact"/>
        <w:textAlignment w:val="auto"/>
        <w:rPr>
          <w:rFonts w:hint="eastAsia" w:ascii="Times New Roman" w:hAnsi="Times New Roman" w:eastAsia="黑体" w:cs="仿宋"/>
          <w:bCs/>
          <w:szCs w:val="21"/>
          <w:lang w:val="en-GB"/>
        </w:rPr>
      </w:pPr>
    </w:p>
    <w:p w14:paraId="7D6FB3C1">
      <w:pPr>
        <w:keepNext w:val="0"/>
        <w:keepLines w:val="0"/>
        <w:pageBreakBefore w:val="0"/>
        <w:kinsoku/>
        <w:wordWrap/>
        <w:overflowPunct/>
        <w:topLinePunct w:val="0"/>
        <w:bidi w:val="0"/>
        <w:spacing w:line="440" w:lineRule="exact"/>
        <w:textAlignment w:val="auto"/>
        <w:rPr>
          <w:rFonts w:hint="eastAsia" w:ascii="黑体" w:hAnsi="黑体" w:eastAsia="黑体" w:cs="黑体"/>
          <w:bCs/>
          <w:szCs w:val="21"/>
          <w:lang w:val="en-GB"/>
        </w:rPr>
      </w:pPr>
      <w:r>
        <w:rPr>
          <w:rFonts w:hint="eastAsia" w:ascii="黑体" w:hAnsi="黑体" w:eastAsia="黑体" w:cs="黑体"/>
          <w:bCs/>
          <w:szCs w:val="21"/>
          <w:lang w:val="en-GB"/>
        </w:rPr>
        <w:t>3</w:t>
      </w:r>
      <w:r>
        <w:rPr>
          <w:rFonts w:hint="eastAsia" w:ascii="黑体" w:hAnsi="黑体" w:eastAsia="黑体" w:cs="黑体"/>
          <w:bCs/>
          <w:szCs w:val="21"/>
          <w:lang w:val="en-US" w:eastAsia="zh-CN"/>
        </w:rPr>
        <w:t xml:space="preserve"> </w:t>
      </w:r>
      <w:r>
        <w:rPr>
          <w:rFonts w:hint="eastAsia" w:ascii="黑体" w:hAnsi="黑体" w:eastAsia="黑体" w:cs="黑体"/>
          <w:bCs/>
          <w:szCs w:val="21"/>
          <w:lang w:val="en-GB"/>
        </w:rPr>
        <w:t>检验依据</w:t>
      </w:r>
    </w:p>
    <w:p w14:paraId="177F2FF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表</w:t>
      </w:r>
      <w:r>
        <w:rPr>
          <w:rFonts w:hint="eastAsia" w:ascii="Times New Roman" w:hAnsi="Times New Roman" w:cs="仿宋"/>
          <w:szCs w:val="21"/>
        </w:rPr>
        <w:t>2</w:t>
      </w:r>
      <w:r>
        <w:rPr>
          <w:rFonts w:hint="eastAsia" w:ascii="Times New Roman" w:hAnsi="Times New Roman" w:cs="仿宋"/>
          <w:szCs w:val="21"/>
          <w:lang w:val="en-GB"/>
        </w:rPr>
        <w:t>检验项目及依据</w:t>
      </w:r>
    </w:p>
    <w:tbl>
      <w:tblPr>
        <w:tblStyle w:val="5"/>
        <w:tblW w:w="8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2404"/>
        <w:gridCol w:w="2585"/>
        <w:gridCol w:w="1134"/>
        <w:gridCol w:w="1259"/>
      </w:tblGrid>
      <w:tr w14:paraId="1C9A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831" w:type="dxa"/>
            <w:vAlign w:val="center"/>
          </w:tcPr>
          <w:p w14:paraId="25315197">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序号</w:t>
            </w:r>
          </w:p>
        </w:tc>
        <w:tc>
          <w:tcPr>
            <w:tcW w:w="2404" w:type="dxa"/>
            <w:vAlign w:val="center"/>
          </w:tcPr>
          <w:p w14:paraId="46977E10">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检验项目</w:t>
            </w:r>
          </w:p>
        </w:tc>
        <w:tc>
          <w:tcPr>
            <w:tcW w:w="2585" w:type="dxa"/>
            <w:vAlign w:val="center"/>
          </w:tcPr>
          <w:p w14:paraId="547065CE">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检验方法</w:t>
            </w:r>
          </w:p>
        </w:tc>
        <w:tc>
          <w:tcPr>
            <w:tcW w:w="1134" w:type="dxa"/>
            <w:vAlign w:val="center"/>
          </w:tcPr>
          <w:p w14:paraId="7526C52D">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重要程度分级</w:t>
            </w:r>
          </w:p>
        </w:tc>
        <w:tc>
          <w:tcPr>
            <w:tcW w:w="1259" w:type="dxa"/>
            <w:vAlign w:val="center"/>
          </w:tcPr>
          <w:p w14:paraId="1EE7681F">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是否为环保指标</w:t>
            </w:r>
          </w:p>
        </w:tc>
      </w:tr>
      <w:tr w14:paraId="6D9B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03C37EA7">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rPr>
              <w:t>1</w:t>
            </w:r>
          </w:p>
        </w:tc>
        <w:tc>
          <w:tcPr>
            <w:tcW w:w="2404" w:type="dxa"/>
            <w:vAlign w:val="center"/>
          </w:tcPr>
          <w:p w14:paraId="70F8203C">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绝缘电阻试验</w:t>
            </w:r>
          </w:p>
        </w:tc>
        <w:tc>
          <w:tcPr>
            <w:tcW w:w="2585" w:type="dxa"/>
            <w:vAlign w:val="center"/>
          </w:tcPr>
          <w:p w14:paraId="2A326C67">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17945-2024/6.14</w:t>
            </w:r>
          </w:p>
        </w:tc>
        <w:tc>
          <w:tcPr>
            <w:tcW w:w="1134" w:type="dxa"/>
            <w:vAlign w:val="center"/>
          </w:tcPr>
          <w:p w14:paraId="3077196A">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A</w:t>
            </w:r>
          </w:p>
        </w:tc>
        <w:tc>
          <w:tcPr>
            <w:tcW w:w="1259" w:type="dxa"/>
            <w:vAlign w:val="center"/>
          </w:tcPr>
          <w:p w14:paraId="3B46EA48">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否</w:t>
            </w:r>
          </w:p>
        </w:tc>
      </w:tr>
      <w:tr w14:paraId="39BD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21B5C75E">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rPr>
              <w:t>2</w:t>
            </w:r>
          </w:p>
        </w:tc>
        <w:tc>
          <w:tcPr>
            <w:tcW w:w="2404" w:type="dxa"/>
            <w:vAlign w:val="center"/>
          </w:tcPr>
          <w:p w14:paraId="491138C4">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电气强度试验</w:t>
            </w:r>
          </w:p>
        </w:tc>
        <w:tc>
          <w:tcPr>
            <w:tcW w:w="2585" w:type="dxa"/>
            <w:vAlign w:val="center"/>
          </w:tcPr>
          <w:p w14:paraId="38692E90">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17945-2024/6.16</w:t>
            </w:r>
          </w:p>
        </w:tc>
        <w:tc>
          <w:tcPr>
            <w:tcW w:w="1134" w:type="dxa"/>
            <w:vAlign w:val="center"/>
          </w:tcPr>
          <w:p w14:paraId="44CFDAA6">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A</w:t>
            </w:r>
          </w:p>
        </w:tc>
        <w:tc>
          <w:tcPr>
            <w:tcW w:w="1259" w:type="dxa"/>
            <w:vAlign w:val="center"/>
          </w:tcPr>
          <w:p w14:paraId="58212201">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否</w:t>
            </w:r>
          </w:p>
        </w:tc>
      </w:tr>
      <w:tr w14:paraId="448E4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19D45099">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3</w:t>
            </w:r>
          </w:p>
        </w:tc>
        <w:tc>
          <w:tcPr>
            <w:tcW w:w="2404" w:type="dxa"/>
            <w:vAlign w:val="center"/>
          </w:tcPr>
          <w:p w14:paraId="33D18591">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接地电阻试验</w:t>
            </w:r>
          </w:p>
        </w:tc>
        <w:tc>
          <w:tcPr>
            <w:tcW w:w="2585" w:type="dxa"/>
            <w:vAlign w:val="center"/>
          </w:tcPr>
          <w:p w14:paraId="201B2823">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lang w:val="en-GB"/>
              </w:rPr>
              <w:t>GB 17945-2024/6.15</w:t>
            </w:r>
          </w:p>
        </w:tc>
        <w:tc>
          <w:tcPr>
            <w:tcW w:w="1134" w:type="dxa"/>
            <w:vAlign w:val="center"/>
          </w:tcPr>
          <w:p w14:paraId="52CB059F">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A</w:t>
            </w:r>
          </w:p>
        </w:tc>
        <w:tc>
          <w:tcPr>
            <w:tcW w:w="1259" w:type="dxa"/>
            <w:vAlign w:val="center"/>
          </w:tcPr>
          <w:p w14:paraId="4A6A4BDF">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否</w:t>
            </w:r>
          </w:p>
        </w:tc>
      </w:tr>
      <w:tr w14:paraId="567A0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5BA9F836">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4</w:t>
            </w:r>
          </w:p>
        </w:tc>
        <w:tc>
          <w:tcPr>
            <w:tcW w:w="2404" w:type="dxa"/>
            <w:vAlign w:val="center"/>
          </w:tcPr>
          <w:p w14:paraId="0A909CA0">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基本功能试验</w:t>
            </w:r>
          </w:p>
        </w:tc>
        <w:tc>
          <w:tcPr>
            <w:tcW w:w="2585" w:type="dxa"/>
            <w:vAlign w:val="center"/>
          </w:tcPr>
          <w:p w14:paraId="4393BB0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17945-2024/6.10</w:t>
            </w:r>
          </w:p>
        </w:tc>
        <w:tc>
          <w:tcPr>
            <w:tcW w:w="1134" w:type="dxa"/>
            <w:vAlign w:val="center"/>
          </w:tcPr>
          <w:p w14:paraId="1BFA49F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B</w:t>
            </w:r>
          </w:p>
        </w:tc>
        <w:tc>
          <w:tcPr>
            <w:tcW w:w="1259" w:type="dxa"/>
            <w:vAlign w:val="center"/>
          </w:tcPr>
          <w:p w14:paraId="1092F84B">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否</w:t>
            </w:r>
          </w:p>
        </w:tc>
      </w:tr>
      <w:tr w14:paraId="1D176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69A3EEA6">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5</w:t>
            </w:r>
          </w:p>
        </w:tc>
        <w:tc>
          <w:tcPr>
            <w:tcW w:w="2404" w:type="dxa"/>
            <w:vAlign w:val="center"/>
          </w:tcPr>
          <w:p w14:paraId="196E9118">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重复转换试验</w:t>
            </w:r>
          </w:p>
        </w:tc>
        <w:tc>
          <w:tcPr>
            <w:tcW w:w="2585" w:type="dxa"/>
            <w:vAlign w:val="center"/>
          </w:tcPr>
          <w:p w14:paraId="7FDE9AE6">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GB 17945-2024/6.11</w:t>
            </w:r>
          </w:p>
        </w:tc>
        <w:tc>
          <w:tcPr>
            <w:tcW w:w="1134" w:type="dxa"/>
            <w:vAlign w:val="center"/>
          </w:tcPr>
          <w:p w14:paraId="6E46791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bookmarkStart w:id="1" w:name="OLE_LINK3"/>
            <w:bookmarkStart w:id="2" w:name="OLE_LINK4"/>
            <w:r>
              <w:rPr>
                <w:rFonts w:hint="eastAsia" w:ascii="Times New Roman" w:hAnsi="Times New Roman" w:cs="仿宋"/>
                <w:szCs w:val="21"/>
              </w:rPr>
              <w:t>B</w:t>
            </w:r>
            <w:bookmarkEnd w:id="1"/>
            <w:bookmarkEnd w:id="2"/>
          </w:p>
        </w:tc>
        <w:tc>
          <w:tcPr>
            <w:tcW w:w="1259" w:type="dxa"/>
            <w:vAlign w:val="center"/>
          </w:tcPr>
          <w:p w14:paraId="4A858A7E">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否</w:t>
            </w:r>
          </w:p>
        </w:tc>
      </w:tr>
      <w:tr w14:paraId="2A502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1C338F78">
            <w:pPr>
              <w:keepNext w:val="0"/>
              <w:keepLines w:val="0"/>
              <w:pageBreakBefore w:val="0"/>
              <w:kinsoku/>
              <w:wordWrap/>
              <w:overflowPunct/>
              <w:topLinePunct w:val="0"/>
              <w:bidi w:val="0"/>
              <w:spacing w:line="440" w:lineRule="exact"/>
              <w:jc w:val="center"/>
              <w:textAlignment w:val="auto"/>
              <w:rPr>
                <w:rFonts w:hint="eastAsia" w:ascii="Times New Roman" w:hAnsi="Times New Roman" w:cs="仿宋"/>
                <w:szCs w:val="21"/>
              </w:rPr>
            </w:pPr>
            <w:r>
              <w:rPr>
                <w:rFonts w:hint="eastAsia" w:ascii="Times New Roman" w:hAnsi="Times New Roman" w:cs="仿宋"/>
                <w:szCs w:val="21"/>
              </w:rPr>
              <w:t>6</w:t>
            </w:r>
          </w:p>
        </w:tc>
        <w:tc>
          <w:tcPr>
            <w:tcW w:w="2404" w:type="dxa"/>
            <w:vAlign w:val="center"/>
          </w:tcPr>
          <w:p w14:paraId="192A86EE">
            <w:pPr>
              <w:keepNext w:val="0"/>
              <w:keepLines w:val="0"/>
              <w:pageBreakBefore w:val="0"/>
              <w:kinsoku/>
              <w:wordWrap/>
              <w:overflowPunct/>
              <w:topLinePunct w:val="0"/>
              <w:bidi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电压波动试验</w:t>
            </w:r>
          </w:p>
        </w:tc>
        <w:tc>
          <w:tcPr>
            <w:tcW w:w="2585" w:type="dxa"/>
            <w:vAlign w:val="center"/>
          </w:tcPr>
          <w:p w14:paraId="0D1BB1CD">
            <w:pPr>
              <w:keepNext w:val="0"/>
              <w:keepLines w:val="0"/>
              <w:pageBreakBefore w:val="0"/>
              <w:kinsoku/>
              <w:wordWrap/>
              <w:overflowPunct/>
              <w:topLinePunct w:val="0"/>
              <w:bidi w:val="0"/>
              <w:spacing w:line="440" w:lineRule="exact"/>
              <w:jc w:val="center"/>
              <w:textAlignment w:val="auto"/>
              <w:rPr>
                <w:rFonts w:hint="eastAsia" w:ascii="Times New Roman" w:hAnsi="Times New Roman" w:cs="仿宋"/>
                <w:szCs w:val="21"/>
                <w:lang w:val="en-GB"/>
              </w:rPr>
            </w:pPr>
            <w:r>
              <w:rPr>
                <w:rFonts w:hint="eastAsia" w:ascii="Times New Roman" w:hAnsi="Times New Roman" w:cs="仿宋"/>
                <w:szCs w:val="21"/>
                <w:lang w:val="en-GB"/>
              </w:rPr>
              <w:t>GB 17945-2024/6.12</w:t>
            </w:r>
          </w:p>
        </w:tc>
        <w:tc>
          <w:tcPr>
            <w:tcW w:w="1134" w:type="dxa"/>
            <w:vAlign w:val="center"/>
          </w:tcPr>
          <w:p w14:paraId="2EF389FC">
            <w:pPr>
              <w:keepNext w:val="0"/>
              <w:keepLines w:val="0"/>
              <w:pageBreakBefore w:val="0"/>
              <w:kinsoku/>
              <w:wordWrap/>
              <w:overflowPunct/>
              <w:topLinePunct w:val="0"/>
              <w:bidi w:val="0"/>
              <w:spacing w:line="440" w:lineRule="exact"/>
              <w:jc w:val="center"/>
              <w:textAlignment w:val="auto"/>
              <w:rPr>
                <w:rFonts w:hint="eastAsia" w:ascii="Times New Roman" w:hAnsi="Times New Roman" w:cs="仿宋"/>
                <w:szCs w:val="21"/>
              </w:rPr>
            </w:pPr>
            <w:r>
              <w:rPr>
                <w:rFonts w:hint="eastAsia" w:ascii="Times New Roman" w:hAnsi="Times New Roman" w:cs="仿宋"/>
                <w:szCs w:val="21"/>
              </w:rPr>
              <w:t>B</w:t>
            </w:r>
          </w:p>
        </w:tc>
        <w:tc>
          <w:tcPr>
            <w:tcW w:w="1259" w:type="dxa"/>
            <w:vAlign w:val="center"/>
          </w:tcPr>
          <w:p w14:paraId="3FEACC0C">
            <w:pPr>
              <w:keepNext w:val="0"/>
              <w:keepLines w:val="0"/>
              <w:pageBreakBefore w:val="0"/>
              <w:widowControl/>
              <w:kinsoku/>
              <w:wordWrap/>
              <w:overflowPunct/>
              <w:topLinePunct w:val="0"/>
              <w:bidi w:val="0"/>
              <w:spacing w:line="440" w:lineRule="exact"/>
              <w:jc w:val="center"/>
              <w:textAlignment w:val="auto"/>
              <w:rPr>
                <w:rFonts w:hint="eastAsia" w:ascii="Times New Roman" w:hAnsi="Times New Roman" w:cs="宋体"/>
                <w:kern w:val="0"/>
                <w:szCs w:val="21"/>
              </w:rPr>
            </w:pPr>
            <w:r>
              <w:rPr>
                <w:rFonts w:hint="eastAsia" w:ascii="Times New Roman" w:hAnsi="Times New Roman" w:cs="宋体"/>
                <w:kern w:val="0"/>
                <w:szCs w:val="21"/>
              </w:rPr>
              <w:t>否</w:t>
            </w:r>
          </w:p>
        </w:tc>
      </w:tr>
      <w:tr w14:paraId="1F487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1" w:type="dxa"/>
            <w:vAlign w:val="center"/>
          </w:tcPr>
          <w:p w14:paraId="3F6E0E58">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7</w:t>
            </w:r>
          </w:p>
        </w:tc>
        <w:tc>
          <w:tcPr>
            <w:tcW w:w="2404" w:type="dxa"/>
            <w:vAlign w:val="center"/>
          </w:tcPr>
          <w:p w14:paraId="04CC5E85">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r>
              <w:rPr>
                <w:rFonts w:hint="eastAsia" w:ascii="Times New Roman" w:hAnsi="Times New Roman" w:cs="仿宋"/>
                <w:szCs w:val="21"/>
                <w:lang w:val="en-GB"/>
              </w:rPr>
              <w:t>转换电压试验</w:t>
            </w:r>
          </w:p>
        </w:tc>
        <w:tc>
          <w:tcPr>
            <w:tcW w:w="2585" w:type="dxa"/>
            <w:vAlign w:val="center"/>
          </w:tcPr>
          <w:p w14:paraId="6C2E90AF">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lang w:val="en-GB"/>
              </w:rPr>
            </w:pPr>
            <w:bookmarkStart w:id="3" w:name="OLE_LINK2"/>
            <w:bookmarkStart w:id="4" w:name="OLE_LINK1"/>
            <w:r>
              <w:rPr>
                <w:rFonts w:hint="eastAsia" w:ascii="Times New Roman" w:hAnsi="Times New Roman" w:cs="仿宋"/>
                <w:szCs w:val="21"/>
                <w:lang w:val="en-GB"/>
              </w:rPr>
              <w:t>GB 17945-2024/6.13</w:t>
            </w:r>
            <w:bookmarkEnd w:id="3"/>
            <w:bookmarkEnd w:id="4"/>
          </w:p>
        </w:tc>
        <w:tc>
          <w:tcPr>
            <w:tcW w:w="1134" w:type="dxa"/>
            <w:vAlign w:val="center"/>
          </w:tcPr>
          <w:p w14:paraId="25078292">
            <w:pPr>
              <w:keepNext w:val="0"/>
              <w:keepLines w:val="0"/>
              <w:pageBreakBefore w:val="0"/>
              <w:kinsoku/>
              <w:wordWrap/>
              <w:overflowPunct/>
              <w:topLinePunct w:val="0"/>
              <w:bidi w:val="0"/>
              <w:spacing w:line="440" w:lineRule="exact"/>
              <w:jc w:val="center"/>
              <w:textAlignment w:val="auto"/>
              <w:rPr>
                <w:rFonts w:ascii="Times New Roman" w:hAnsi="Times New Roman" w:cs="仿宋"/>
                <w:szCs w:val="21"/>
              </w:rPr>
            </w:pPr>
            <w:r>
              <w:rPr>
                <w:rFonts w:hint="eastAsia" w:ascii="Times New Roman" w:hAnsi="Times New Roman" w:cs="仿宋"/>
                <w:szCs w:val="21"/>
              </w:rPr>
              <w:t>A</w:t>
            </w:r>
          </w:p>
        </w:tc>
        <w:tc>
          <w:tcPr>
            <w:tcW w:w="1259" w:type="dxa"/>
            <w:vAlign w:val="center"/>
          </w:tcPr>
          <w:p w14:paraId="66FB167B">
            <w:pPr>
              <w:keepNext w:val="0"/>
              <w:keepLines w:val="0"/>
              <w:pageBreakBefore w:val="0"/>
              <w:widowControl/>
              <w:kinsoku/>
              <w:wordWrap/>
              <w:overflowPunct/>
              <w:topLinePunct w:val="0"/>
              <w:bidi w:val="0"/>
              <w:spacing w:line="440" w:lineRule="exact"/>
              <w:jc w:val="center"/>
              <w:textAlignment w:val="auto"/>
              <w:rPr>
                <w:rFonts w:ascii="Times New Roman" w:hAnsi="Times New Roman" w:cs="宋体"/>
                <w:kern w:val="0"/>
                <w:szCs w:val="21"/>
                <w:lang w:val="en-GB"/>
              </w:rPr>
            </w:pPr>
            <w:r>
              <w:rPr>
                <w:rFonts w:hint="eastAsia" w:ascii="Times New Roman" w:hAnsi="Times New Roman" w:cs="宋体"/>
                <w:kern w:val="0"/>
                <w:szCs w:val="21"/>
              </w:rPr>
              <w:t>否</w:t>
            </w:r>
          </w:p>
        </w:tc>
      </w:tr>
    </w:tbl>
    <w:p w14:paraId="7B50267D">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szCs w:val="21"/>
        </w:rPr>
      </w:pPr>
      <w:r>
        <w:rPr>
          <w:rFonts w:hint="eastAsia" w:ascii="Times New Roman" w:hAnsi="Times New Roman" w:cs="宋体"/>
          <w:szCs w:val="21"/>
        </w:rPr>
        <w:t>A类-极重要质量项目，是指直接涉及影响人身健康、安全的指标；B类-重要质量项目，是指产品涉及环保、能效、关键或特征性指标等；C类-一般质量项目，外观、尺寸等不直接影响产品使用的指标。</w:t>
      </w:r>
    </w:p>
    <w:p w14:paraId="0A2077F5">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szCs w:val="21"/>
        </w:rPr>
      </w:pPr>
      <w:r>
        <w:rPr>
          <w:rFonts w:hint="eastAsia" w:ascii="Times New Roman" w:hAnsi="Times New Roman" w:cs="宋体"/>
          <w:szCs w:val="21"/>
        </w:rPr>
        <w:t>凡是注日期的文件，其随后所有的修改单（不包括勘误的内容）或修订版不适用。凡是不注日期的文件，其最新版适用。</w:t>
      </w:r>
    </w:p>
    <w:p w14:paraId="1BBEDF48">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szCs w:val="21"/>
        </w:rPr>
      </w:pPr>
      <w:r>
        <w:rPr>
          <w:rFonts w:hint="eastAsia" w:ascii="Times New Roman" w:hAnsi="Times New Roman" w:cs="宋体"/>
          <w:szCs w:val="21"/>
        </w:rPr>
        <w:t>执行企业标准、团体标准、地方标准的产品，检验项目参照上述内容执行。</w:t>
      </w:r>
    </w:p>
    <w:p w14:paraId="61CE0A2D">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Times New Roman" w:hAnsi="Times New Roman" w:cs="宋体"/>
          <w:szCs w:val="21"/>
        </w:rPr>
      </w:pPr>
      <w:r>
        <w:rPr>
          <w:rFonts w:hint="eastAsia" w:ascii="Times New Roman" w:hAnsi="Times New Roman" w:cs="宋体"/>
          <w:szCs w:val="21"/>
        </w:rPr>
        <w:t>依照有关规定或产品适用标准，需要检测的其他项目，可视情况进行调整。</w:t>
      </w:r>
    </w:p>
    <w:p w14:paraId="33B6981D">
      <w:pPr>
        <w:keepNext w:val="0"/>
        <w:keepLines w:val="0"/>
        <w:pageBreakBefore w:val="0"/>
        <w:kinsoku/>
        <w:wordWrap/>
        <w:overflowPunct/>
        <w:topLinePunct w:val="0"/>
        <w:bidi w:val="0"/>
        <w:spacing w:line="440" w:lineRule="exact"/>
        <w:textAlignment w:val="auto"/>
        <w:rPr>
          <w:rFonts w:hint="eastAsia" w:ascii="黑体" w:hAnsi="黑体" w:eastAsia="黑体" w:cs="黑体"/>
          <w:bCs/>
          <w:szCs w:val="21"/>
          <w:lang w:val="en-GB"/>
        </w:rPr>
      </w:pPr>
    </w:p>
    <w:p w14:paraId="6E76ED94">
      <w:pPr>
        <w:keepNext w:val="0"/>
        <w:keepLines w:val="0"/>
        <w:pageBreakBefore w:val="0"/>
        <w:kinsoku/>
        <w:wordWrap/>
        <w:overflowPunct/>
        <w:topLinePunct w:val="0"/>
        <w:bidi w:val="0"/>
        <w:spacing w:line="440" w:lineRule="exact"/>
        <w:textAlignment w:val="auto"/>
        <w:rPr>
          <w:rFonts w:hint="eastAsia" w:ascii="黑体" w:hAnsi="黑体" w:eastAsia="黑体" w:cs="黑体"/>
          <w:bCs/>
          <w:szCs w:val="21"/>
          <w:lang w:val="en-GB"/>
        </w:rPr>
      </w:pPr>
      <w:r>
        <w:rPr>
          <w:rFonts w:hint="eastAsia" w:ascii="黑体" w:hAnsi="黑体" w:eastAsia="黑体" w:cs="黑体"/>
          <w:bCs/>
          <w:szCs w:val="21"/>
          <w:lang w:val="en-GB"/>
        </w:rPr>
        <w:t>4</w:t>
      </w:r>
      <w:r>
        <w:rPr>
          <w:rFonts w:hint="eastAsia" w:ascii="黑体" w:hAnsi="黑体" w:eastAsia="黑体" w:cs="黑体"/>
          <w:bCs/>
          <w:szCs w:val="21"/>
          <w:lang w:val="en-US" w:eastAsia="zh-CN"/>
        </w:rPr>
        <w:t xml:space="preserve"> </w:t>
      </w:r>
      <w:r>
        <w:rPr>
          <w:rFonts w:hint="eastAsia" w:ascii="黑体" w:hAnsi="黑体" w:eastAsia="黑体" w:cs="黑体"/>
          <w:bCs/>
          <w:szCs w:val="21"/>
          <w:lang w:val="en-GB"/>
        </w:rPr>
        <w:t>判定规则</w:t>
      </w:r>
    </w:p>
    <w:p w14:paraId="55F3B014">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4.1依据标准</w:t>
      </w:r>
    </w:p>
    <w:p w14:paraId="3B64D0A5">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GB 17945-2024《消防应急照明和疏散指示系统》</w:t>
      </w:r>
    </w:p>
    <w:p w14:paraId="781ED9B5">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现行有效的企业标准、团体标准、地方标准及产品明示质量要求</w:t>
      </w:r>
      <w:r>
        <w:rPr>
          <w:rFonts w:hint="eastAsia" w:ascii="Times New Roman" w:hAnsi="Times New Roman" w:cs="仿宋"/>
          <w:szCs w:val="21"/>
        </w:rPr>
        <w:t>等</w:t>
      </w:r>
      <w:r>
        <w:rPr>
          <w:rFonts w:hint="eastAsia" w:ascii="Times New Roman" w:hAnsi="Times New Roman" w:cs="仿宋"/>
          <w:szCs w:val="21"/>
          <w:lang w:val="en-GB"/>
        </w:rPr>
        <w:t>。</w:t>
      </w:r>
    </w:p>
    <w:p w14:paraId="79E9B638">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4.2判定原则</w:t>
      </w:r>
    </w:p>
    <w:p w14:paraId="4DB16C94">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单项判定：经检验，任一项目中全部参数合格，判定该项目合格；任一项目中有一个或一个以上参数不合格，判定该项目不合格。</w:t>
      </w:r>
    </w:p>
    <w:p w14:paraId="185C1841">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综合判定：</w:t>
      </w:r>
      <w:r>
        <w:rPr>
          <w:rFonts w:ascii="Times New Roman" w:hAnsi="Times New Roman"/>
          <w:szCs w:val="21"/>
        </w:rPr>
        <w:t>经检验，检验项目全部合格，判定为被抽查产品所检项目未发现不合格</w:t>
      </w:r>
      <w:r>
        <w:rPr>
          <w:rFonts w:hint="eastAsia" w:ascii="Times New Roman" w:hAnsi="Times New Roman" w:cs="仿宋"/>
          <w:szCs w:val="21"/>
          <w:lang w:val="en-GB"/>
        </w:rPr>
        <w:t>；检验项目中有任一项或一项以上不合格，判定为被抽查产品不合格。</w:t>
      </w:r>
    </w:p>
    <w:p w14:paraId="2F0517B1">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若被检产品明示的质量要求高于本细则中检验项目依据的标准要求时，应按被检产品明示的质量要求判定。</w:t>
      </w:r>
    </w:p>
    <w:p w14:paraId="4407FABD">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若被检产品明示的质量要求低于本细则中检验项目依据的强制性标准要求时，应按照强制性标准要求判定。</w:t>
      </w:r>
    </w:p>
    <w:p w14:paraId="7C06C539">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若被检产品明示的质量要求低于或包含本细则中检验项目依据的推荐性标准要求时，应以被检产品明示的质量要求判定。</w:t>
      </w:r>
    </w:p>
    <w:p w14:paraId="725A8564">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若被检产品明示的质量要求缺少本细则中检验项目依据的强制性标准要求时，应按照强制性标准要求判定。</w:t>
      </w:r>
    </w:p>
    <w:p w14:paraId="0939D3E0">
      <w:pPr>
        <w:keepNext w:val="0"/>
        <w:keepLines w:val="0"/>
        <w:pageBreakBefore w:val="0"/>
        <w:kinsoku/>
        <w:wordWrap/>
        <w:overflowPunct/>
        <w:topLinePunct w:val="0"/>
        <w:bidi w:val="0"/>
        <w:spacing w:line="440" w:lineRule="exact"/>
        <w:ind w:firstLine="420" w:firstLineChars="200"/>
        <w:textAlignment w:val="auto"/>
        <w:rPr>
          <w:rFonts w:ascii="Times New Roman" w:hAnsi="Times New Roman" w:cs="仿宋"/>
          <w:szCs w:val="21"/>
          <w:lang w:val="en-GB"/>
        </w:rPr>
      </w:pPr>
      <w:r>
        <w:rPr>
          <w:rFonts w:hint="eastAsia" w:ascii="Times New Roman" w:hAnsi="Times New Roman" w:cs="仿宋"/>
          <w:szCs w:val="21"/>
          <w:lang w:val="en-GB"/>
        </w:rPr>
        <w:t>若被检产品明示的质量要求缺少本细则中检验项目依据的推荐性标准要求时，该项目不参与判定。</w:t>
      </w:r>
    </w:p>
    <w:p w14:paraId="483C1A36">
      <w:pPr>
        <w:keepNext w:val="0"/>
        <w:keepLines w:val="0"/>
        <w:pageBreakBefore w:val="0"/>
        <w:kinsoku/>
        <w:wordWrap/>
        <w:overflowPunct/>
        <w:topLinePunct w:val="0"/>
        <w:autoSpaceDE w:val="0"/>
        <w:autoSpaceDN w:val="0"/>
        <w:bidi w:val="0"/>
        <w:spacing w:line="440" w:lineRule="exact"/>
        <w:ind w:firstLine="422" w:firstLineChars="200"/>
        <w:textAlignment w:val="auto"/>
        <w:rPr>
          <w:rFonts w:ascii="Times New Roman" w:hAnsi="Times New Roman" w:cs="宋体" w:eastAsiaTheme="minorEastAsia"/>
          <w:b/>
          <w:szCs w:val="21"/>
        </w:rPr>
      </w:pPr>
    </w:p>
    <w:p w14:paraId="1BBA9A02">
      <w:pPr>
        <w:keepNext w:val="0"/>
        <w:keepLines w:val="0"/>
        <w:pageBreakBefore w:val="0"/>
        <w:kinsoku/>
        <w:wordWrap/>
        <w:overflowPunct/>
        <w:topLinePunct w:val="0"/>
        <w:autoSpaceDE w:val="0"/>
        <w:autoSpaceDN w:val="0"/>
        <w:bidi w:val="0"/>
        <w:spacing w:line="440" w:lineRule="exact"/>
        <w:ind w:firstLine="422" w:firstLineChars="200"/>
        <w:textAlignment w:val="auto"/>
        <w:rPr>
          <w:rFonts w:cs="宋体" w:asciiTheme="minorEastAsia" w:hAnsiTheme="minorEastAsia" w:eastAsiaTheme="minorEastAsia"/>
          <w:b/>
          <w:szCs w:val="21"/>
        </w:rPr>
      </w:pPr>
    </w:p>
    <w:p w14:paraId="1D297458">
      <w:pPr>
        <w:keepNext w:val="0"/>
        <w:keepLines w:val="0"/>
        <w:pageBreakBefore w:val="0"/>
        <w:kinsoku/>
        <w:wordWrap/>
        <w:overflowPunct/>
        <w:topLinePunct w:val="0"/>
        <w:autoSpaceDE w:val="0"/>
        <w:autoSpaceDN w:val="0"/>
        <w:bidi w:val="0"/>
        <w:spacing w:line="440" w:lineRule="exact"/>
        <w:ind w:firstLine="422" w:firstLineChars="200"/>
        <w:textAlignment w:val="auto"/>
        <w:rPr>
          <w:rFonts w:cs="宋体" w:asciiTheme="minorEastAsia" w:hAnsiTheme="minorEastAsia" w:eastAsiaTheme="minorEastAsia"/>
          <w:b/>
          <w:szCs w:val="21"/>
        </w:rPr>
      </w:pPr>
    </w:p>
    <w:p w14:paraId="57C80894">
      <w:pPr>
        <w:keepNext w:val="0"/>
        <w:keepLines w:val="0"/>
        <w:pageBreakBefore w:val="0"/>
        <w:kinsoku/>
        <w:wordWrap/>
        <w:overflowPunct/>
        <w:topLinePunct w:val="0"/>
        <w:autoSpaceDE w:val="0"/>
        <w:autoSpaceDN w:val="0"/>
        <w:bidi w:val="0"/>
        <w:spacing w:line="440" w:lineRule="exact"/>
        <w:ind w:firstLine="422" w:firstLineChars="200"/>
        <w:textAlignment w:val="auto"/>
        <w:rPr>
          <w:rFonts w:cs="宋体" w:asciiTheme="minorEastAsia" w:hAnsiTheme="minorEastAsia" w:eastAsiaTheme="minorEastAsia"/>
          <w:b/>
          <w:szCs w:val="21"/>
        </w:rPr>
      </w:pPr>
    </w:p>
    <w:p w14:paraId="4F5D3D9C">
      <w:pPr>
        <w:keepNext w:val="0"/>
        <w:keepLines w:val="0"/>
        <w:pageBreakBefore w:val="0"/>
        <w:kinsoku/>
        <w:wordWrap/>
        <w:overflowPunct/>
        <w:topLinePunct w:val="0"/>
        <w:autoSpaceDE w:val="0"/>
        <w:autoSpaceDN w:val="0"/>
        <w:bidi w:val="0"/>
        <w:spacing w:line="440" w:lineRule="exact"/>
        <w:ind w:firstLine="422" w:firstLineChars="200"/>
        <w:textAlignment w:val="auto"/>
        <w:rPr>
          <w:rFonts w:cs="宋体" w:asciiTheme="minorEastAsia" w:hAnsiTheme="minorEastAsia" w:eastAsiaTheme="minorEastAsia"/>
          <w:b/>
          <w:szCs w:val="21"/>
        </w:rPr>
      </w:pPr>
    </w:p>
    <w:p w14:paraId="5E6020C8">
      <w:pPr>
        <w:keepNext w:val="0"/>
        <w:keepLines w:val="0"/>
        <w:pageBreakBefore w:val="0"/>
        <w:kinsoku/>
        <w:wordWrap/>
        <w:overflowPunct/>
        <w:topLinePunct w:val="0"/>
        <w:bidi w:val="0"/>
        <w:spacing w:line="440" w:lineRule="exact"/>
        <w:textAlignment w:val="auto"/>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2FiY2Q3ZTYyNzRjNjQ0Y2ZhMzllZGNmMTZkOTQifQ=="/>
  </w:docVars>
  <w:rsids>
    <w:rsidRoot w:val="005C7E0C"/>
    <w:rsid w:val="0004296C"/>
    <w:rsid w:val="000A3D47"/>
    <w:rsid w:val="00141B1C"/>
    <w:rsid w:val="001D53FE"/>
    <w:rsid w:val="00284BDF"/>
    <w:rsid w:val="002B7572"/>
    <w:rsid w:val="002E5355"/>
    <w:rsid w:val="00316825"/>
    <w:rsid w:val="004121E1"/>
    <w:rsid w:val="00464D45"/>
    <w:rsid w:val="004B76B0"/>
    <w:rsid w:val="004F6C65"/>
    <w:rsid w:val="005077CA"/>
    <w:rsid w:val="005C7E0C"/>
    <w:rsid w:val="00665050"/>
    <w:rsid w:val="006E1178"/>
    <w:rsid w:val="006F7F3A"/>
    <w:rsid w:val="00732A04"/>
    <w:rsid w:val="00792250"/>
    <w:rsid w:val="007B1B0F"/>
    <w:rsid w:val="007F21C1"/>
    <w:rsid w:val="00800047"/>
    <w:rsid w:val="00814F2B"/>
    <w:rsid w:val="00846E53"/>
    <w:rsid w:val="008511BE"/>
    <w:rsid w:val="00890373"/>
    <w:rsid w:val="008F6278"/>
    <w:rsid w:val="009013BF"/>
    <w:rsid w:val="009531C9"/>
    <w:rsid w:val="00994FDA"/>
    <w:rsid w:val="00AB7FC5"/>
    <w:rsid w:val="00AD5B43"/>
    <w:rsid w:val="00B20A1F"/>
    <w:rsid w:val="00B258DB"/>
    <w:rsid w:val="00C502ED"/>
    <w:rsid w:val="00C50B2F"/>
    <w:rsid w:val="00D04E9B"/>
    <w:rsid w:val="00DB180B"/>
    <w:rsid w:val="00DB1BBE"/>
    <w:rsid w:val="00EC69D6"/>
    <w:rsid w:val="00ED21E2"/>
    <w:rsid w:val="00EE535E"/>
    <w:rsid w:val="00F557F6"/>
    <w:rsid w:val="00FF3729"/>
    <w:rsid w:val="03013433"/>
    <w:rsid w:val="079E778D"/>
    <w:rsid w:val="26695BF7"/>
    <w:rsid w:val="3A161D5E"/>
    <w:rsid w:val="3F861119"/>
    <w:rsid w:val="3FCE84F4"/>
    <w:rsid w:val="77FB2546"/>
    <w:rsid w:val="791C6109"/>
    <w:rsid w:val="FB1723C9"/>
    <w:rsid w:val="FEB5A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600" w:firstLineChars="200"/>
    </w:pPr>
    <w:rPr>
      <w:rFonts w:ascii="Times New Roman" w:hAnsi="Times New Roman" w:eastAsia="仿宋_GB2312"/>
      <w:sz w:val="30"/>
      <w:szCs w:val="24"/>
    </w:r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2</Pages>
  <Words>918</Words>
  <Characters>1047</Characters>
  <Lines>8</Lines>
  <Paragraphs>2</Paragraphs>
  <TotalTime>34</TotalTime>
  <ScaleCrop>false</ScaleCrop>
  <LinksUpToDate>false</LinksUpToDate>
  <CharactersWithSpaces>1057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2024-07-23T07:42:00Z</dcterms:created>
  <dc:creator>微软用户</dc:creator>
  <cp:lastModifiedBy>赢在行动</cp:lastModifiedBy>
  <dcterms:modified xsi:type="dcterms:W3CDTF">2025-08-29T02:52:24Z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DC5734C0877541388D04AA3AE1200F63</vt:lpwstr>
  </property>
  <property fmtid="{D5CDD505-2E9C-101B-9397-08002B2CF9AE}" pid="4" name="KSOTemplateDocerSaveRecord">
    <vt:lpwstr>eyJoZGlkIjoiMTY3NDRjNDA3ZTliYmUxMWY5Y2ExZDRiODEwNDI4N2YiLCJ1c2VySWQiOiIyMTkxODIwMjYifQ==</vt:lpwstr>
  </property>
</Properties>
</file>