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23D56">
      <w:pPr>
        <w:adjustRightInd w:val="0"/>
        <w:snapToGrid w:val="0"/>
        <w:spacing w:line="600" w:lineRule="exact"/>
        <w:rPr>
          <w:rFonts w:ascii="方正小标宋简体" w:hAnsi="方正小标宋简体" w:eastAsia="方正小标宋简体" w:cs="方正小标宋简体"/>
          <w:color w:val="000000"/>
          <w:sz w:val="32"/>
          <w:szCs w:val="32"/>
        </w:rPr>
      </w:pPr>
      <w:bookmarkStart w:id="0" w:name="_GoBack"/>
      <w:r>
        <w:rPr>
          <w:rFonts w:hint="eastAsia" w:ascii="方正小标宋简体" w:hAnsi="方正小标宋简体" w:eastAsia="方正小标宋简体" w:cs="方正小标宋简体"/>
          <w:bCs/>
          <w:color w:val="000000"/>
          <w:sz w:val="32"/>
          <w:szCs w:val="32"/>
        </w:rPr>
        <w:t>唐山市机动车辆制动液产品质量监督抽查实施细则</w:t>
      </w:r>
      <w:r>
        <w:rPr>
          <w:rFonts w:hint="eastAsia" w:ascii="方正小标宋简体" w:hAnsi="方正小标宋简体" w:eastAsia="方正小标宋简体" w:cs="方正小标宋简体"/>
          <w:sz w:val="32"/>
          <w:szCs w:val="32"/>
        </w:rPr>
        <w:t>（2025版）</w:t>
      </w:r>
    </w:p>
    <w:bookmarkEnd w:id="0"/>
    <w:p w14:paraId="115F33C6">
      <w:pPr>
        <w:adjustRightInd w:val="0"/>
        <w:snapToGrid w:val="0"/>
        <w:spacing w:before="312" w:beforeLines="100" w:after="312" w:afterLines="100" w:line="440" w:lineRule="exact"/>
        <w:rPr>
          <w:rFonts w:ascii="黑体" w:hAnsi="黑体" w:eastAsia="黑体" w:cs="黑体"/>
          <w:color w:val="000000"/>
        </w:rPr>
      </w:pPr>
      <w:r>
        <w:rPr>
          <w:rFonts w:hint="eastAsia" w:ascii="黑体" w:hAnsi="黑体" w:eastAsia="黑体" w:cs="黑体"/>
          <w:color w:val="000000"/>
        </w:rPr>
        <w:t>1 抽样方法</w:t>
      </w:r>
    </w:p>
    <w:p w14:paraId="5541F0CC">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以随机抽样的方式抽取检验样品和备用样品。</w:t>
      </w:r>
    </w:p>
    <w:p w14:paraId="143BE051">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每批次产品抽取不少于2个独立包装、总量不小于1.6kg的样品，其中1/2作为检验样品，1/2作为备用样品。2 抽查产品名称及执行标准</w:t>
      </w:r>
    </w:p>
    <w:p w14:paraId="7A9A4DE1">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GB 12981-2012机动车辆制动液本次抽查的产品名称主要为：机动车辆制动液，各产品执行标准见表1。</w:t>
      </w:r>
    </w:p>
    <w:p w14:paraId="603C1F9E">
      <w:pPr>
        <w:adjustRightInd w:val="0"/>
        <w:snapToGrid w:val="0"/>
        <w:spacing w:line="440" w:lineRule="exact"/>
        <w:jc w:val="center"/>
        <w:rPr>
          <w:color w:val="000000"/>
        </w:rPr>
      </w:pPr>
      <w:r>
        <w:rPr>
          <w:rFonts w:hint="eastAsia" w:asciiTheme="minorEastAsia" w:hAnsiTheme="minorEastAsia" w:eastAsiaTheme="minorEastAsia" w:cstheme="minorEastAsia"/>
          <w:color w:val="000000"/>
        </w:rPr>
        <w:t>表1 产品名称</w:t>
      </w:r>
      <w:r>
        <w:rPr>
          <w:rFonts w:hint="eastAsia" w:ascii="Times New Roman" w:hAnsi="Times New Roman"/>
          <w:color w:val="000000"/>
        </w:rPr>
        <w:t>及执行标准</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839"/>
        <w:gridCol w:w="2792"/>
        <w:gridCol w:w="3073"/>
      </w:tblGrid>
      <w:tr w14:paraId="7589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478" w:type="pct"/>
            <w:shd w:val="clear" w:color="auto" w:fill="auto"/>
            <w:vAlign w:val="center"/>
          </w:tcPr>
          <w:p w14:paraId="67C6FDF0">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序号</w:t>
            </w:r>
          </w:p>
        </w:tc>
        <w:tc>
          <w:tcPr>
            <w:tcW w:w="1079" w:type="pct"/>
            <w:shd w:val="clear" w:color="auto" w:fill="auto"/>
            <w:vAlign w:val="center"/>
          </w:tcPr>
          <w:p w14:paraId="07AD4485">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产品名称</w:t>
            </w:r>
          </w:p>
        </w:tc>
        <w:tc>
          <w:tcPr>
            <w:tcW w:w="1638" w:type="pct"/>
            <w:shd w:val="clear" w:color="auto" w:fill="auto"/>
            <w:vAlign w:val="center"/>
          </w:tcPr>
          <w:p w14:paraId="3C2160CE">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标准编号</w:t>
            </w:r>
          </w:p>
        </w:tc>
        <w:tc>
          <w:tcPr>
            <w:tcW w:w="1803" w:type="pct"/>
            <w:shd w:val="clear" w:color="auto" w:fill="auto"/>
            <w:vAlign w:val="center"/>
          </w:tcPr>
          <w:p w14:paraId="302884E3">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标准名称</w:t>
            </w:r>
          </w:p>
        </w:tc>
      </w:tr>
      <w:tr w14:paraId="2F90F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78" w:type="pct"/>
            <w:shd w:val="clear" w:color="auto" w:fill="auto"/>
            <w:vAlign w:val="center"/>
          </w:tcPr>
          <w:p w14:paraId="36555C01">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w:t>
            </w:r>
          </w:p>
        </w:tc>
        <w:tc>
          <w:tcPr>
            <w:tcW w:w="1079" w:type="pct"/>
            <w:shd w:val="clear" w:color="auto" w:fill="auto"/>
            <w:vAlign w:val="center"/>
          </w:tcPr>
          <w:p w14:paraId="6BBFD22D">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rPr>
              <w:t>机动车辆制动液</w:t>
            </w:r>
          </w:p>
        </w:tc>
        <w:tc>
          <w:tcPr>
            <w:tcW w:w="1638" w:type="pct"/>
            <w:shd w:val="clear" w:color="auto" w:fill="auto"/>
            <w:vAlign w:val="center"/>
          </w:tcPr>
          <w:p w14:paraId="55251B01">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rPr>
              <w:t>GB 12981-2012</w:t>
            </w:r>
          </w:p>
        </w:tc>
        <w:tc>
          <w:tcPr>
            <w:tcW w:w="1803" w:type="pct"/>
            <w:shd w:val="clear" w:color="auto" w:fill="auto"/>
            <w:vAlign w:val="center"/>
          </w:tcPr>
          <w:p w14:paraId="6129E3A4">
            <w:pPr>
              <w:adjustRightInd w:val="0"/>
              <w:snapToGrid w:val="0"/>
              <w:spacing w:line="300" w:lineRule="exact"/>
              <w:jc w:val="cente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rPr>
              <w:t>机动车辆制动液</w:t>
            </w:r>
          </w:p>
        </w:tc>
      </w:tr>
    </w:tbl>
    <w:p w14:paraId="7BF41F57">
      <w:pPr>
        <w:adjustRightInd w:val="0"/>
        <w:snapToGrid w:val="0"/>
        <w:spacing w:line="440" w:lineRule="exact"/>
        <w:ind w:firstLine="420" w:firstLineChars="200"/>
        <w:rPr>
          <w:rFonts w:asciiTheme="minorEastAsia" w:hAnsiTheme="minorEastAsia" w:eastAsiaTheme="minorEastAsia" w:cstheme="minorEastAsia"/>
          <w:color w:val="000000"/>
        </w:rPr>
      </w:pPr>
    </w:p>
    <w:p w14:paraId="4C461751">
      <w:pPr>
        <w:adjustRightInd w:val="0"/>
        <w:snapToGrid w:val="0"/>
        <w:spacing w:before="312" w:beforeLines="100" w:after="312" w:afterLines="100" w:line="440" w:lineRule="exact"/>
        <w:rPr>
          <w:rFonts w:ascii="黑体" w:hAnsi="黑体" w:eastAsia="黑体" w:cs="黑体"/>
          <w:color w:val="000000"/>
        </w:rPr>
      </w:pPr>
      <w:r>
        <w:rPr>
          <w:rFonts w:hint="eastAsia" w:ascii="黑体" w:hAnsi="黑体" w:eastAsia="黑体" w:cs="黑体"/>
          <w:color w:val="000000"/>
        </w:rPr>
        <w:t>3 检验依据</w:t>
      </w:r>
    </w:p>
    <w:p w14:paraId="00320E7E">
      <w:pPr>
        <w:adjustRightInd w:val="0"/>
        <w:snapToGrid w:val="0"/>
        <w:spacing w:line="440" w:lineRule="exact"/>
        <w:jc w:val="center"/>
        <w:rPr>
          <w:rFonts w:eastAsia="黑体"/>
          <w:color w:val="000000"/>
        </w:rPr>
      </w:pPr>
      <w:r>
        <w:rPr>
          <w:rFonts w:hint="eastAsia" w:ascii="宋体" w:hAnsi="宋体" w:cs="宋体"/>
          <w:color w:val="000000"/>
        </w:rPr>
        <w:t>表2 检验项目及依据</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3027"/>
        <w:gridCol w:w="2598"/>
        <w:gridCol w:w="927"/>
        <w:gridCol w:w="1114"/>
      </w:tblGrid>
      <w:tr w14:paraId="07066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500" w:type="pct"/>
            <w:vAlign w:val="center"/>
          </w:tcPr>
          <w:p w14:paraId="2BA3E905">
            <w:pPr>
              <w:adjustRightInd w:val="0"/>
              <w:snapToGrid w:val="0"/>
              <w:spacing w:line="440" w:lineRule="exact"/>
              <w:jc w:val="center"/>
              <w:rPr>
                <w:rFonts w:asciiTheme="majorEastAsia" w:hAnsiTheme="majorEastAsia" w:eastAsiaTheme="majorEastAsia" w:cstheme="majorEastAsia"/>
              </w:rPr>
            </w:pPr>
            <w:r>
              <w:rPr>
                <w:rFonts w:hint="eastAsia" w:asciiTheme="majorEastAsia" w:hAnsiTheme="majorEastAsia" w:eastAsiaTheme="majorEastAsia" w:cstheme="majorEastAsia"/>
              </w:rPr>
              <w:t>序号</w:t>
            </w:r>
          </w:p>
        </w:tc>
        <w:tc>
          <w:tcPr>
            <w:tcW w:w="1777" w:type="pct"/>
            <w:vAlign w:val="center"/>
          </w:tcPr>
          <w:p w14:paraId="6D4C5CBC">
            <w:pPr>
              <w:adjustRightInd w:val="0"/>
              <w:snapToGrid w:val="0"/>
              <w:spacing w:line="440" w:lineRule="exact"/>
              <w:jc w:val="center"/>
              <w:rPr>
                <w:rFonts w:asciiTheme="majorEastAsia" w:hAnsiTheme="majorEastAsia" w:eastAsiaTheme="majorEastAsia" w:cstheme="majorEastAsia"/>
              </w:rPr>
            </w:pPr>
            <w:r>
              <w:rPr>
                <w:rFonts w:hint="eastAsia" w:asciiTheme="majorEastAsia" w:hAnsiTheme="majorEastAsia" w:eastAsiaTheme="majorEastAsia" w:cstheme="majorEastAsia"/>
              </w:rPr>
              <w:t>检验项目</w:t>
            </w:r>
          </w:p>
        </w:tc>
        <w:tc>
          <w:tcPr>
            <w:tcW w:w="1525" w:type="pct"/>
            <w:vAlign w:val="center"/>
          </w:tcPr>
          <w:p w14:paraId="64161FCD">
            <w:pPr>
              <w:adjustRightInd w:val="0"/>
              <w:snapToGrid w:val="0"/>
              <w:spacing w:line="440" w:lineRule="exact"/>
              <w:jc w:val="center"/>
              <w:rPr>
                <w:rFonts w:asciiTheme="majorEastAsia" w:hAnsiTheme="majorEastAsia" w:eastAsiaTheme="majorEastAsia" w:cstheme="majorEastAsia"/>
              </w:rPr>
            </w:pPr>
            <w:r>
              <w:rPr>
                <w:rFonts w:hint="eastAsia" w:asciiTheme="majorEastAsia" w:hAnsiTheme="majorEastAsia" w:eastAsiaTheme="majorEastAsia" w:cstheme="majorEastAsia"/>
                <w:color w:val="000000"/>
              </w:rPr>
              <w:t>检验方法</w:t>
            </w:r>
          </w:p>
        </w:tc>
        <w:tc>
          <w:tcPr>
            <w:tcW w:w="544" w:type="pct"/>
            <w:vAlign w:val="center"/>
          </w:tcPr>
          <w:p w14:paraId="556B8593">
            <w:pPr>
              <w:adjustRightInd w:val="0"/>
              <w:snapToGrid w:val="0"/>
              <w:spacing w:line="300" w:lineRule="exact"/>
              <w:jc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rPr>
              <w:t>重要程度分级</w:t>
            </w:r>
          </w:p>
        </w:tc>
        <w:tc>
          <w:tcPr>
            <w:tcW w:w="654" w:type="pct"/>
            <w:vAlign w:val="center"/>
          </w:tcPr>
          <w:p w14:paraId="7D84BCF3">
            <w:pPr>
              <w:adjustRightInd w:val="0"/>
              <w:snapToGrid w:val="0"/>
              <w:spacing w:line="300" w:lineRule="exact"/>
              <w:jc w:val="center"/>
              <w:rPr>
                <w:rFonts w:asciiTheme="majorEastAsia" w:hAnsiTheme="majorEastAsia" w:eastAsiaTheme="majorEastAsia" w:cstheme="majorEastAsia"/>
                <w:color w:val="000000"/>
                <w:kern w:val="0"/>
              </w:rPr>
            </w:pPr>
            <w:r>
              <w:rPr>
                <w:rFonts w:hint="eastAsia" w:asciiTheme="majorEastAsia" w:hAnsiTheme="majorEastAsia" w:eastAsiaTheme="majorEastAsia" w:cstheme="majorEastAsia"/>
              </w:rPr>
              <w:t>是否为环保指标</w:t>
            </w:r>
          </w:p>
        </w:tc>
      </w:tr>
      <w:tr w14:paraId="301CE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73795211">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1</w:t>
            </w:r>
          </w:p>
        </w:tc>
        <w:tc>
          <w:tcPr>
            <w:tcW w:w="1777" w:type="pct"/>
            <w:vAlign w:val="center"/>
          </w:tcPr>
          <w:p w14:paraId="641FD66D">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运动黏度（-40℃/100℃）</w:t>
            </w:r>
          </w:p>
        </w:tc>
        <w:tc>
          <w:tcPr>
            <w:tcW w:w="1525" w:type="pct"/>
            <w:vAlign w:val="center"/>
          </w:tcPr>
          <w:p w14:paraId="2B2AF3E2">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GB/T 265-1988</w:t>
            </w:r>
          </w:p>
        </w:tc>
        <w:tc>
          <w:tcPr>
            <w:tcW w:w="544" w:type="pct"/>
            <w:vAlign w:val="center"/>
          </w:tcPr>
          <w:p w14:paraId="4C533974">
            <w:pPr>
              <w:pStyle w:val="3"/>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24C4FCCF">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14:paraId="129C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36ADBCC9">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2</w:t>
            </w:r>
          </w:p>
        </w:tc>
        <w:tc>
          <w:tcPr>
            <w:tcW w:w="1777" w:type="pct"/>
            <w:vAlign w:val="center"/>
          </w:tcPr>
          <w:p w14:paraId="1AEAD19D">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平衡回流沸点（ERBP）</w:t>
            </w:r>
          </w:p>
        </w:tc>
        <w:tc>
          <w:tcPr>
            <w:tcW w:w="1525" w:type="pct"/>
            <w:vAlign w:val="center"/>
          </w:tcPr>
          <w:p w14:paraId="49A9AA21">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NB/SH/T 0430-2019</w:t>
            </w:r>
          </w:p>
        </w:tc>
        <w:tc>
          <w:tcPr>
            <w:tcW w:w="544" w:type="pct"/>
            <w:vAlign w:val="center"/>
          </w:tcPr>
          <w:p w14:paraId="51B3EDD8">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1840E44A">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14:paraId="31A5F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102255F5">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3</w:t>
            </w:r>
          </w:p>
        </w:tc>
        <w:tc>
          <w:tcPr>
            <w:tcW w:w="1777" w:type="pct"/>
            <w:vAlign w:val="center"/>
          </w:tcPr>
          <w:p w14:paraId="6279461C">
            <w:pPr>
              <w:adjustRightInd w:val="0"/>
              <w:snapToGrid w:val="0"/>
              <w:jc w:val="center"/>
              <w:rPr>
                <w:rFonts w:asciiTheme="majorEastAsia" w:hAnsiTheme="majorEastAsia" w:eastAsiaTheme="majorEastAsia" w:cstheme="majorEastAsia"/>
                <w:bCs/>
              </w:rPr>
            </w:pPr>
            <w:r>
              <w:rPr>
                <w:rFonts w:hint="eastAsia" w:asciiTheme="majorEastAsia" w:hAnsiTheme="majorEastAsia" w:eastAsiaTheme="majorEastAsia" w:cstheme="majorEastAsia"/>
                <w:color w:val="000000"/>
              </w:rPr>
              <w:t>湿平衡回流沸点（WERBP）</w:t>
            </w:r>
          </w:p>
        </w:tc>
        <w:tc>
          <w:tcPr>
            <w:tcW w:w="1525" w:type="pct"/>
            <w:vAlign w:val="center"/>
          </w:tcPr>
          <w:p w14:paraId="06BD9A08">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GB12981-2012附录C</w:t>
            </w:r>
          </w:p>
        </w:tc>
        <w:tc>
          <w:tcPr>
            <w:tcW w:w="544" w:type="pct"/>
            <w:vAlign w:val="center"/>
          </w:tcPr>
          <w:p w14:paraId="2D32FD4A">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6C357870">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14:paraId="39B24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5882A942">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4</w:t>
            </w:r>
          </w:p>
        </w:tc>
        <w:tc>
          <w:tcPr>
            <w:tcW w:w="1777" w:type="pct"/>
            <w:vAlign w:val="center"/>
          </w:tcPr>
          <w:p w14:paraId="7544CE61">
            <w:pPr>
              <w:spacing w:before="120" w:line="200" w:lineRule="exact"/>
              <w:ind w:left="17"/>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pH值</w:t>
            </w:r>
          </w:p>
        </w:tc>
        <w:tc>
          <w:tcPr>
            <w:tcW w:w="1525" w:type="pct"/>
            <w:vAlign w:val="center"/>
          </w:tcPr>
          <w:p w14:paraId="6EB1666F">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GB12981-2012附录D</w:t>
            </w:r>
          </w:p>
        </w:tc>
        <w:tc>
          <w:tcPr>
            <w:tcW w:w="544" w:type="pct"/>
            <w:vAlign w:val="center"/>
          </w:tcPr>
          <w:p w14:paraId="32F27D85">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271917CB">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14:paraId="7161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57A2F8B5">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5</w:t>
            </w:r>
          </w:p>
        </w:tc>
        <w:tc>
          <w:tcPr>
            <w:tcW w:w="1777" w:type="pct"/>
            <w:vAlign w:val="center"/>
          </w:tcPr>
          <w:p w14:paraId="069F7D4F">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液体稳定性</w:t>
            </w:r>
          </w:p>
        </w:tc>
        <w:tc>
          <w:tcPr>
            <w:tcW w:w="1525" w:type="pct"/>
            <w:vAlign w:val="center"/>
          </w:tcPr>
          <w:p w14:paraId="77298D9E">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GB12981-2012附录E</w:t>
            </w:r>
          </w:p>
        </w:tc>
        <w:tc>
          <w:tcPr>
            <w:tcW w:w="544" w:type="pct"/>
            <w:vAlign w:val="center"/>
          </w:tcPr>
          <w:p w14:paraId="4C62955D">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36199A87">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14:paraId="02BB4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49729ABE">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6</w:t>
            </w:r>
          </w:p>
        </w:tc>
        <w:tc>
          <w:tcPr>
            <w:tcW w:w="1777" w:type="pct"/>
            <w:vAlign w:val="center"/>
          </w:tcPr>
          <w:p w14:paraId="762C957C">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低温流动性和外观</w:t>
            </w:r>
          </w:p>
        </w:tc>
        <w:tc>
          <w:tcPr>
            <w:tcW w:w="1525" w:type="pct"/>
            <w:vAlign w:val="center"/>
          </w:tcPr>
          <w:p w14:paraId="353F0D90">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GB12981-2012附录G</w:t>
            </w:r>
          </w:p>
        </w:tc>
        <w:tc>
          <w:tcPr>
            <w:tcW w:w="544" w:type="pct"/>
            <w:vAlign w:val="center"/>
          </w:tcPr>
          <w:p w14:paraId="7EF38D04">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67ACEA6E">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14:paraId="10F21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 w:type="pct"/>
            <w:vAlign w:val="center"/>
          </w:tcPr>
          <w:p w14:paraId="68EC92A0">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7</w:t>
            </w:r>
          </w:p>
        </w:tc>
        <w:tc>
          <w:tcPr>
            <w:tcW w:w="1777" w:type="pct"/>
            <w:vAlign w:val="center"/>
          </w:tcPr>
          <w:p w14:paraId="4E653FEA">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外观</w:t>
            </w:r>
          </w:p>
        </w:tc>
        <w:tc>
          <w:tcPr>
            <w:tcW w:w="1525" w:type="pct"/>
            <w:vAlign w:val="center"/>
          </w:tcPr>
          <w:p w14:paraId="5F316AA2">
            <w:pPr>
              <w:spacing w:before="120"/>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目测</w:t>
            </w:r>
          </w:p>
        </w:tc>
        <w:tc>
          <w:tcPr>
            <w:tcW w:w="544" w:type="pct"/>
            <w:vAlign w:val="center"/>
          </w:tcPr>
          <w:p w14:paraId="5A8673B3">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54" w:type="pct"/>
            <w:vAlign w:val="center"/>
          </w:tcPr>
          <w:p w14:paraId="1910BA5A">
            <w:pPr>
              <w:pStyle w:val="3"/>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bl>
    <w:p w14:paraId="3890814B">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重要程度分级：A类-极重要质量项目，是指直接涉及影响人身健康、安全的指标；B类-重要质量项目，是指产品涉及环保、能效、关键或特征性指标等；C类-一般质量项目，外观、尺寸等不直接影响产品使用的指标。</w:t>
      </w:r>
    </w:p>
    <w:p w14:paraId="5946D7EA">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执行企业标准、团体标准、地方标准的产品，检验项目参照上述内容执行。</w:t>
      </w:r>
    </w:p>
    <w:p w14:paraId="17919FDE">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14:paraId="0273F332">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依照有关规定或产品适用标准，需要检测的其他项目，可视情况进行调整。</w:t>
      </w:r>
    </w:p>
    <w:p w14:paraId="3AF43D08">
      <w:pPr>
        <w:adjustRightInd w:val="0"/>
        <w:snapToGrid w:val="0"/>
        <w:spacing w:before="312" w:beforeLines="100" w:after="312" w:afterLines="100" w:line="440" w:lineRule="exact"/>
        <w:rPr>
          <w:rFonts w:ascii="黑体" w:hAnsi="黑体" w:eastAsia="黑体" w:cs="黑体"/>
          <w:color w:val="000000"/>
        </w:rPr>
      </w:pPr>
      <w:r>
        <w:rPr>
          <w:rFonts w:hint="eastAsia" w:ascii="黑体" w:hAnsi="黑体" w:eastAsia="黑体" w:cs="黑体"/>
          <w:color w:val="000000"/>
        </w:rPr>
        <w:t>4 判定规则</w:t>
      </w:r>
    </w:p>
    <w:p w14:paraId="04B73A06">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4.1依据标准</w:t>
      </w:r>
    </w:p>
    <w:p w14:paraId="7EA1FA61">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GB 12981-2012《机动车辆制动液》</w:t>
      </w:r>
    </w:p>
    <w:p w14:paraId="716FDB84">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现行有效的企业标准、团体标准、地方标准及产品明示质量要求等。</w:t>
      </w:r>
    </w:p>
    <w:p w14:paraId="1F5A3EE1">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4.2判定原则</w:t>
      </w:r>
    </w:p>
    <w:p w14:paraId="32BD8E31">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经检验，检验项目全部合格，判定为被抽查产品所检项目未发现不合格；检验项目中任一项或一项以上不合格，判定为被抽查产品不合格。</w:t>
      </w:r>
    </w:p>
    <w:p w14:paraId="415CC015">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若被检产品明示的质量要求高于本细则中检验项目依据的标准要求时，应按被检产品明示的质量要求判定。</w:t>
      </w:r>
    </w:p>
    <w:p w14:paraId="3ACDA1BB">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若被检产品明示的质量要求低于本细则中检验项目依据的强制性标准要求时，应按照强制性标准要求判定。</w:t>
      </w:r>
    </w:p>
    <w:p w14:paraId="4D4471FC">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若被检产品明示的质量要求缺少本细则中检验项目依据的强制性标准要求时，应按照强制性标准要求判定。</w:t>
      </w:r>
    </w:p>
    <w:p w14:paraId="29B2D6D0">
      <w:pPr>
        <w:adjustRightInd w:val="0"/>
        <w:snapToGrid w:val="0"/>
        <w:spacing w:line="440" w:lineRule="exact"/>
        <w:ind w:firstLine="420" w:firstLineChars="200"/>
        <w:rPr>
          <w:rFonts w:ascii="宋体" w:hAnsi="宋体" w:cs="宋体"/>
          <w:color w:val="000000"/>
        </w:rPr>
      </w:pPr>
    </w:p>
    <w:p w14:paraId="0AB755B2">
      <w:pPr>
        <w:spacing w:line="500" w:lineRule="exact"/>
        <w:jc w:val="center"/>
      </w:pPr>
    </w:p>
    <w:p w14:paraId="4EE989AB">
      <w:pPr>
        <w:spacing w:line="500" w:lineRule="exact"/>
        <w:jc w:val="center"/>
      </w:pPr>
    </w:p>
    <w:p w14:paraId="7BB12219">
      <w:pPr>
        <w:spacing w:line="500" w:lineRule="exact"/>
        <w:jc w:val="center"/>
      </w:pPr>
    </w:p>
    <w:p w14:paraId="34E1457A">
      <w:pPr>
        <w:spacing w:line="500" w:lineRule="exact"/>
        <w:jc w:val="center"/>
      </w:pPr>
    </w:p>
    <w:p w14:paraId="75DC35A6">
      <w:pPr>
        <w:spacing w:line="500" w:lineRule="exact"/>
        <w:jc w:val="center"/>
      </w:pPr>
    </w:p>
    <w:p w14:paraId="5335736B">
      <w:pPr>
        <w:spacing w:line="500" w:lineRule="exact"/>
        <w:jc w:val="center"/>
      </w:pPr>
    </w:p>
    <w:p w14:paraId="79BEB683">
      <w:pPr>
        <w:spacing w:line="500" w:lineRule="exact"/>
        <w:jc w:val="center"/>
      </w:pPr>
    </w:p>
    <w:p w14:paraId="45AD16EA">
      <w:pPr>
        <w:spacing w:line="500" w:lineRule="exact"/>
        <w:jc w:val="center"/>
      </w:pPr>
    </w:p>
    <w:p w14:paraId="552FA230">
      <w:pPr>
        <w:spacing w:line="500" w:lineRule="exact"/>
        <w:jc w:val="center"/>
      </w:pPr>
    </w:p>
    <w:p w14:paraId="4D4F09EA">
      <w:pPr>
        <w:spacing w:line="500" w:lineRule="exact"/>
        <w:jc w:val="center"/>
      </w:pPr>
    </w:p>
    <w:p w14:paraId="78D6D4BB">
      <w:pPr>
        <w:spacing w:line="500" w:lineRule="exact"/>
        <w:jc w:val="center"/>
      </w:pPr>
    </w:p>
    <w:p w14:paraId="721F7E43">
      <w:pPr>
        <w:spacing w:line="500" w:lineRule="exact"/>
        <w:jc w:val="center"/>
      </w:pPr>
    </w:p>
    <w:p w14:paraId="056A163C">
      <w:pPr>
        <w:spacing w:line="500" w:lineRule="exact"/>
        <w:jc w:val="center"/>
      </w:pPr>
    </w:p>
    <w:p w14:paraId="503CAA5D">
      <w:pPr>
        <w:spacing w:line="500" w:lineRule="exact"/>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1NjM4ODI3ZmNkOGUwOTIwZTBkYWYxYmU0NTQ3ZTgifQ=="/>
  </w:docVars>
  <w:rsids>
    <w:rsidRoot w:val="00907414"/>
    <w:rsid w:val="000F3FC9"/>
    <w:rsid w:val="0019411E"/>
    <w:rsid w:val="00210794"/>
    <w:rsid w:val="002A1ECA"/>
    <w:rsid w:val="002B2E5C"/>
    <w:rsid w:val="002F121F"/>
    <w:rsid w:val="002F1451"/>
    <w:rsid w:val="00345E04"/>
    <w:rsid w:val="00492AF7"/>
    <w:rsid w:val="0050118B"/>
    <w:rsid w:val="00502E37"/>
    <w:rsid w:val="005164F4"/>
    <w:rsid w:val="005E374B"/>
    <w:rsid w:val="00633DD4"/>
    <w:rsid w:val="0069105A"/>
    <w:rsid w:val="006A1943"/>
    <w:rsid w:val="006B7374"/>
    <w:rsid w:val="006D3F32"/>
    <w:rsid w:val="006F43B0"/>
    <w:rsid w:val="00730D59"/>
    <w:rsid w:val="00733C6B"/>
    <w:rsid w:val="0075403F"/>
    <w:rsid w:val="007A1CA9"/>
    <w:rsid w:val="007D6DF1"/>
    <w:rsid w:val="00810E66"/>
    <w:rsid w:val="00880A1A"/>
    <w:rsid w:val="00907414"/>
    <w:rsid w:val="00927C9B"/>
    <w:rsid w:val="009859DA"/>
    <w:rsid w:val="00A4510C"/>
    <w:rsid w:val="00AA4706"/>
    <w:rsid w:val="00BB755F"/>
    <w:rsid w:val="00C53416"/>
    <w:rsid w:val="00C57AD2"/>
    <w:rsid w:val="00CB65FC"/>
    <w:rsid w:val="00CC29D6"/>
    <w:rsid w:val="00DC6BA1"/>
    <w:rsid w:val="00E6204D"/>
    <w:rsid w:val="00EB728B"/>
    <w:rsid w:val="00F238E2"/>
    <w:rsid w:val="0C6F608E"/>
    <w:rsid w:val="1C161DDD"/>
    <w:rsid w:val="1DD27B95"/>
    <w:rsid w:val="6D922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ascii="Times New Roman" w:hAnsi="Times New Roman"/>
      <w:szCs w:val="24"/>
    </w:rPr>
  </w:style>
  <w:style w:type="paragraph" w:styleId="3">
    <w:name w:val="Plain Text"/>
    <w:basedOn w:val="1"/>
    <w:link w:val="13"/>
    <w:unhideWhenUsed/>
    <w:qFormat/>
    <w:uiPriority w:val="99"/>
    <w:rPr>
      <w:rFonts w:ascii="宋体" w:hAnsi="Courier New"/>
      <w:kern w:val="0"/>
      <w:sz w:val="20"/>
      <w:szCs w:val="20"/>
    </w:rPr>
  </w:style>
  <w:style w:type="paragraph" w:styleId="4">
    <w:name w:val="Balloon Text"/>
    <w:basedOn w:val="1"/>
    <w:link w:val="15"/>
    <w:semiHidden/>
    <w:unhideWhenUsed/>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6"/>
    <w:semiHidden/>
    <w:qFormat/>
    <w:uiPriority w:val="99"/>
    <w:rPr>
      <w:sz w:val="18"/>
      <w:szCs w:val="18"/>
    </w:rPr>
  </w:style>
  <w:style w:type="character" w:customStyle="1" w:styleId="12">
    <w:name w:val="页脚 Char"/>
    <w:basedOn w:val="10"/>
    <w:link w:val="5"/>
    <w:semiHidden/>
    <w:qFormat/>
    <w:uiPriority w:val="99"/>
    <w:rPr>
      <w:sz w:val="18"/>
      <w:szCs w:val="18"/>
    </w:rPr>
  </w:style>
  <w:style w:type="character" w:customStyle="1" w:styleId="13">
    <w:name w:val="纯文本 Char"/>
    <w:basedOn w:val="10"/>
    <w:link w:val="3"/>
    <w:qFormat/>
    <w:uiPriority w:val="99"/>
    <w:rPr>
      <w:rFonts w:ascii="宋体" w:hAnsi="Courier New" w:eastAsia="宋体" w:cs="Times New Roman"/>
      <w:kern w:val="0"/>
      <w:sz w:val="20"/>
      <w:szCs w:val="20"/>
    </w:rPr>
  </w:style>
  <w:style w:type="paragraph" w:customStyle="1" w:styleId="14">
    <w:name w:val="列出段落1"/>
    <w:basedOn w:val="1"/>
    <w:qFormat/>
    <w:uiPriority w:val="34"/>
    <w:pPr>
      <w:ind w:firstLine="420" w:firstLineChars="200"/>
    </w:pPr>
  </w:style>
  <w:style w:type="character" w:customStyle="1" w:styleId="15">
    <w:name w:val="批注框文本 Char"/>
    <w:basedOn w:val="10"/>
    <w:link w:val="4"/>
    <w:semiHidden/>
    <w:uiPriority w:val="99"/>
    <w:rPr>
      <w:rFonts w:ascii="Calibri" w:hAnsi="Calibri" w:eastAsia="宋体" w:cs="Times New Roman"/>
      <w:kern w:val="2"/>
      <w:sz w:val="18"/>
      <w:szCs w:val="18"/>
    </w:rPr>
  </w:style>
  <w:style w:type="paragraph" w:styleId="16">
    <w:name w:val="List Paragraph"/>
    <w:basedOn w:val="1"/>
    <w:unhideWhenUsed/>
    <w:qFormat/>
    <w:uiPriority w:val="99"/>
    <w:pPr>
      <w:ind w:firstLine="420" w:firstLineChars="200"/>
    </w:pPr>
  </w:style>
  <w:style w:type="character" w:customStyle="1" w:styleId="17">
    <w:name w:val="批注文字 Char"/>
    <w:basedOn w:val="10"/>
    <w:link w:val="2"/>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3</Pages>
  <Words>3421</Words>
  <Characters>3802</Characters>
  <Lines>31</Lines>
  <Paragraphs>8</Paragraphs>
  <TotalTime>31</TotalTime>
  <ScaleCrop>false</ScaleCrop>
  <LinksUpToDate>false</LinksUpToDate>
  <CharactersWithSpaces>3985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2025-08-14T08:26:00Z</dcterms:created>
  <dc:creator>微软用户</dc:creator>
  <cp:lastModifiedBy>魏导</cp:lastModifiedBy>
  <dcterms:modified xsi:type="dcterms:W3CDTF">2025-08-28T09:01:35Z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710214C21DC142F88B20517C4F58FC97_12</vt:lpwstr>
  </property>
  <property fmtid="{D5CDD505-2E9C-101B-9397-08002B2CF9AE}" pid="4" name="KSOTemplateDocerSaveRecord">
    <vt:lpwstr>eyJoZGlkIjoiMzljZTI1ZjRhNzE5MDQ1NjNlNDRhNDJmNzk1ODU2MmIiLCJ1c2VySWQiOiIxNjgzMjY5OTAifQ==</vt:lpwstr>
  </property>
</Properties>
</file>