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96557">
      <w:pPr>
        <w:adjustRightInd w:val="0"/>
        <w:snapToGrid w:val="0"/>
        <w:spacing w:line="594" w:lineRule="exact"/>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rPr>
        <w:t>唐山市机动车发动机润滑油产品质量监督抽查实施细则</w:t>
      </w:r>
      <w:bookmarkStart w:id="2" w:name="_GoBack"/>
      <w:bookmarkEnd w:id="2"/>
    </w:p>
    <w:p w14:paraId="49F2D585">
      <w:pPr>
        <w:adjustRightInd w:val="0"/>
        <w:snapToGrid w:val="0"/>
        <w:spacing w:line="594" w:lineRule="exact"/>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sz w:val="32"/>
          <w:szCs w:val="32"/>
        </w:rPr>
        <w:t>（2025版）</w:t>
      </w:r>
    </w:p>
    <w:p w14:paraId="60F291ED">
      <w:pPr>
        <w:adjustRightInd w:val="0"/>
        <w:snapToGrid w:val="0"/>
        <w:spacing w:beforeLines="100" w:afterLines="100" w:line="440" w:lineRule="exact"/>
        <w:rPr>
          <w:rFonts w:ascii="黑体" w:hAnsi="黑体" w:eastAsia="黑体" w:cs="黑体"/>
          <w:color w:val="000000"/>
        </w:rPr>
      </w:pPr>
      <w:r>
        <w:rPr>
          <w:rFonts w:hint="eastAsia" w:ascii="黑体" w:hAnsi="黑体" w:eastAsia="黑体" w:cs="黑体"/>
          <w:color w:val="000000"/>
        </w:rPr>
        <w:t>1 抽样方法</w:t>
      </w:r>
    </w:p>
    <w:p w14:paraId="499E4264">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以随机抽样的方式在被抽样生产者、销售者的待销产品中抽取。</w:t>
      </w:r>
    </w:p>
    <w:p w14:paraId="1FABAAAC">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每批次产品抽取2份，每份不少于3L。如产品独立包装＞20升或在成品罐抽样时，应按GB/T 4756—2015《石油液体手工取样法》进行取样。其中1份作为检验样品，1份作为备用样品。</w:t>
      </w:r>
    </w:p>
    <w:p w14:paraId="3BD9F286">
      <w:pPr>
        <w:adjustRightInd w:val="0"/>
        <w:snapToGrid w:val="0"/>
        <w:spacing w:beforeLines="100" w:afterLines="100" w:line="440" w:lineRule="exact"/>
        <w:rPr>
          <w:rFonts w:ascii="黑体" w:hAnsi="黑体" w:eastAsia="黑体" w:cs="黑体"/>
          <w:color w:val="000000"/>
        </w:rPr>
      </w:pPr>
      <w:r>
        <w:rPr>
          <w:rFonts w:hint="eastAsia" w:ascii="黑体" w:hAnsi="黑体" w:eastAsia="黑体" w:cs="黑体"/>
          <w:color w:val="000000"/>
        </w:rPr>
        <w:t>2 抽查产品名称及执行标准</w:t>
      </w:r>
    </w:p>
    <w:p w14:paraId="761B3410">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本次抽查的产品名称主要为：机动车发动机润滑油，各产品执行标准见表1。</w:t>
      </w:r>
    </w:p>
    <w:p w14:paraId="52CC943D">
      <w:pPr>
        <w:adjustRightInd w:val="0"/>
        <w:snapToGrid w:val="0"/>
        <w:spacing w:line="440" w:lineRule="exact"/>
        <w:jc w:val="center"/>
        <w:rPr>
          <w:rFonts w:ascii="Times New Roman" w:hAnsi="Times New Roman"/>
        </w:rPr>
      </w:pPr>
      <w:r>
        <w:rPr>
          <w:rFonts w:hint="eastAsia" w:ascii="Times New Roman" w:hAnsi="Times New Roman"/>
        </w:rPr>
        <w:t>表</w:t>
      </w:r>
      <w:r>
        <w:rPr>
          <w:rFonts w:hint="eastAsia" w:ascii="宋体" w:hAnsi="宋体" w:cs="宋体"/>
        </w:rPr>
        <w:t>1</w:t>
      </w:r>
      <w:r>
        <w:rPr>
          <w:rFonts w:hint="eastAsia" w:ascii="Times New Roman" w:hAnsi="Times New Roman"/>
        </w:rPr>
        <w:t xml:space="preserve"> 产品名称及执行标准</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268"/>
        <w:gridCol w:w="3069"/>
        <w:gridCol w:w="2324"/>
      </w:tblGrid>
      <w:tr w14:paraId="72A7E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04" w:type="pct"/>
            <w:vAlign w:val="center"/>
          </w:tcPr>
          <w:p w14:paraId="200F3B40">
            <w:pPr>
              <w:adjustRightInd w:val="0"/>
              <w:snapToGrid w:val="0"/>
              <w:jc w:val="center"/>
              <w:rPr>
                <w:rFonts w:ascii="宋体" w:hAnsi="宋体" w:cs="宋体"/>
                <w:bCs/>
              </w:rPr>
            </w:pPr>
            <w:r>
              <w:rPr>
                <w:rFonts w:hint="eastAsia" w:ascii="宋体" w:hAnsi="宋体" w:cs="宋体"/>
                <w:bCs/>
              </w:rPr>
              <w:t>序号</w:t>
            </w:r>
          </w:p>
        </w:tc>
        <w:tc>
          <w:tcPr>
            <w:tcW w:w="1330" w:type="pct"/>
            <w:vAlign w:val="center"/>
          </w:tcPr>
          <w:p w14:paraId="3A4D6C8C">
            <w:pPr>
              <w:adjustRightInd w:val="0"/>
              <w:snapToGrid w:val="0"/>
              <w:jc w:val="center"/>
              <w:rPr>
                <w:rFonts w:ascii="宋体" w:hAnsi="宋体" w:cs="宋体"/>
                <w:bCs/>
              </w:rPr>
            </w:pPr>
            <w:r>
              <w:rPr>
                <w:rFonts w:hint="eastAsia" w:ascii="宋体" w:hAnsi="宋体" w:cs="宋体"/>
                <w:bCs/>
              </w:rPr>
              <w:t>产品名称</w:t>
            </w:r>
          </w:p>
        </w:tc>
        <w:tc>
          <w:tcPr>
            <w:tcW w:w="1800" w:type="pct"/>
            <w:vAlign w:val="center"/>
          </w:tcPr>
          <w:p w14:paraId="4E1707EF">
            <w:pPr>
              <w:adjustRightInd w:val="0"/>
              <w:snapToGrid w:val="0"/>
              <w:jc w:val="center"/>
              <w:rPr>
                <w:rFonts w:ascii="宋体" w:hAnsi="宋体" w:cs="宋体"/>
                <w:bCs/>
              </w:rPr>
            </w:pPr>
            <w:r>
              <w:rPr>
                <w:rFonts w:hint="eastAsia" w:ascii="宋体" w:hAnsi="宋体" w:cs="宋体"/>
                <w:bCs/>
              </w:rPr>
              <w:t>标准编号</w:t>
            </w:r>
          </w:p>
        </w:tc>
        <w:tc>
          <w:tcPr>
            <w:tcW w:w="1363" w:type="pct"/>
            <w:vAlign w:val="center"/>
          </w:tcPr>
          <w:p w14:paraId="67C4B143">
            <w:pPr>
              <w:adjustRightInd w:val="0"/>
              <w:snapToGrid w:val="0"/>
              <w:jc w:val="center"/>
              <w:rPr>
                <w:rFonts w:ascii="宋体" w:hAnsi="宋体" w:cs="宋体"/>
                <w:bCs/>
              </w:rPr>
            </w:pPr>
            <w:r>
              <w:rPr>
                <w:rFonts w:hint="eastAsia" w:ascii="宋体" w:hAnsi="宋体" w:cs="宋体"/>
                <w:bCs/>
              </w:rPr>
              <w:t>标准名称</w:t>
            </w:r>
          </w:p>
        </w:tc>
      </w:tr>
      <w:tr w14:paraId="7D0D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04" w:type="pct"/>
            <w:vAlign w:val="center"/>
          </w:tcPr>
          <w:p w14:paraId="32A70BB0">
            <w:pPr>
              <w:adjustRightInd w:val="0"/>
              <w:snapToGrid w:val="0"/>
              <w:jc w:val="center"/>
              <w:rPr>
                <w:rFonts w:ascii="宋体" w:hAnsi="宋体" w:cs="宋体"/>
                <w:bCs/>
              </w:rPr>
            </w:pPr>
            <w:r>
              <w:rPr>
                <w:rFonts w:hint="eastAsia" w:ascii="宋体" w:hAnsi="宋体" w:cs="宋体"/>
                <w:bCs/>
              </w:rPr>
              <w:t>1</w:t>
            </w:r>
          </w:p>
        </w:tc>
        <w:tc>
          <w:tcPr>
            <w:tcW w:w="1330" w:type="pct"/>
            <w:vAlign w:val="center"/>
          </w:tcPr>
          <w:p w14:paraId="3C260E57">
            <w:pPr>
              <w:adjustRightInd w:val="0"/>
              <w:snapToGrid w:val="0"/>
              <w:jc w:val="center"/>
              <w:rPr>
                <w:rFonts w:ascii="宋体" w:hAnsi="宋体" w:cs="宋体"/>
                <w:bCs/>
              </w:rPr>
            </w:pPr>
            <w:r>
              <w:rPr>
                <w:rFonts w:hint="eastAsia" w:ascii="宋体" w:hAnsi="宋体" w:cs="宋体"/>
              </w:rPr>
              <w:t>汽油机油</w:t>
            </w:r>
          </w:p>
        </w:tc>
        <w:tc>
          <w:tcPr>
            <w:tcW w:w="1800" w:type="pct"/>
            <w:vAlign w:val="center"/>
          </w:tcPr>
          <w:p w14:paraId="178D6774">
            <w:pPr>
              <w:adjustRightInd w:val="0"/>
              <w:snapToGrid w:val="0"/>
              <w:jc w:val="center"/>
              <w:rPr>
                <w:rFonts w:ascii="宋体" w:hAnsi="宋体" w:cs="宋体"/>
                <w:bCs/>
              </w:rPr>
            </w:pPr>
            <w:r>
              <w:rPr>
                <w:rFonts w:hint="eastAsia" w:ascii="宋体" w:hAnsi="宋体" w:cs="宋体"/>
              </w:rPr>
              <w:t>GB 11121-2006</w:t>
            </w:r>
          </w:p>
        </w:tc>
        <w:tc>
          <w:tcPr>
            <w:tcW w:w="1363" w:type="pct"/>
            <w:vAlign w:val="center"/>
          </w:tcPr>
          <w:p w14:paraId="44392F7B">
            <w:pPr>
              <w:adjustRightInd w:val="0"/>
              <w:snapToGrid w:val="0"/>
              <w:jc w:val="center"/>
              <w:rPr>
                <w:rFonts w:ascii="宋体" w:hAnsi="宋体" w:cs="宋体"/>
                <w:bCs/>
              </w:rPr>
            </w:pPr>
            <w:r>
              <w:rPr>
                <w:rFonts w:hint="eastAsia" w:ascii="宋体" w:hAnsi="宋体" w:cs="宋体"/>
              </w:rPr>
              <w:t>《汽油机油》</w:t>
            </w:r>
          </w:p>
        </w:tc>
      </w:tr>
      <w:tr w14:paraId="729A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504" w:type="pct"/>
            <w:vAlign w:val="center"/>
          </w:tcPr>
          <w:p w14:paraId="026F98D8">
            <w:pPr>
              <w:adjustRightInd w:val="0"/>
              <w:snapToGrid w:val="0"/>
              <w:jc w:val="center"/>
              <w:rPr>
                <w:rFonts w:ascii="宋体" w:hAnsi="宋体" w:cs="宋体"/>
                <w:bCs/>
              </w:rPr>
            </w:pPr>
            <w:r>
              <w:rPr>
                <w:rFonts w:hint="eastAsia" w:ascii="宋体" w:hAnsi="宋体" w:cs="宋体"/>
                <w:bCs/>
              </w:rPr>
              <w:t>2</w:t>
            </w:r>
          </w:p>
        </w:tc>
        <w:tc>
          <w:tcPr>
            <w:tcW w:w="1330" w:type="pct"/>
            <w:vAlign w:val="center"/>
          </w:tcPr>
          <w:p w14:paraId="168C67E1">
            <w:pPr>
              <w:adjustRightInd w:val="0"/>
              <w:snapToGrid w:val="0"/>
              <w:jc w:val="center"/>
              <w:rPr>
                <w:rFonts w:ascii="宋体" w:hAnsi="宋体" w:cs="宋体"/>
              </w:rPr>
            </w:pPr>
            <w:r>
              <w:rPr>
                <w:rFonts w:hint="eastAsia" w:ascii="宋体" w:hAnsi="宋体" w:cs="宋体"/>
              </w:rPr>
              <w:t>柴油机油</w:t>
            </w:r>
          </w:p>
        </w:tc>
        <w:tc>
          <w:tcPr>
            <w:tcW w:w="1800" w:type="pct"/>
            <w:vAlign w:val="center"/>
          </w:tcPr>
          <w:p w14:paraId="44424421">
            <w:pPr>
              <w:adjustRightInd w:val="0"/>
              <w:snapToGrid w:val="0"/>
              <w:jc w:val="center"/>
              <w:rPr>
                <w:rFonts w:ascii="宋体" w:hAnsi="宋体" w:cs="宋体"/>
                <w:bCs/>
              </w:rPr>
            </w:pPr>
            <w:r>
              <w:rPr>
                <w:rFonts w:hint="eastAsia" w:ascii="宋体" w:hAnsi="宋体" w:cs="宋体"/>
              </w:rPr>
              <w:t>GB 11122-2006</w:t>
            </w:r>
          </w:p>
        </w:tc>
        <w:tc>
          <w:tcPr>
            <w:tcW w:w="1363" w:type="pct"/>
            <w:vAlign w:val="center"/>
          </w:tcPr>
          <w:p w14:paraId="1A15879F">
            <w:pPr>
              <w:adjustRightInd w:val="0"/>
              <w:snapToGrid w:val="0"/>
              <w:jc w:val="center"/>
              <w:rPr>
                <w:rFonts w:ascii="宋体" w:hAnsi="宋体" w:cs="宋体"/>
                <w:bCs/>
              </w:rPr>
            </w:pPr>
            <w:r>
              <w:rPr>
                <w:rFonts w:hint="eastAsia" w:ascii="宋体" w:hAnsi="宋体" w:cs="宋体"/>
              </w:rPr>
              <w:t>《柴油机油》</w:t>
            </w:r>
          </w:p>
        </w:tc>
      </w:tr>
    </w:tbl>
    <w:p w14:paraId="03572E35">
      <w:pPr>
        <w:adjustRightInd w:val="0"/>
        <w:snapToGrid w:val="0"/>
        <w:spacing w:beforeLines="100" w:afterLines="100" w:line="440" w:lineRule="exact"/>
        <w:rPr>
          <w:rFonts w:ascii="黑体" w:hAnsi="黑体" w:eastAsia="黑体" w:cs="黑体"/>
          <w:color w:val="000000"/>
        </w:rPr>
      </w:pPr>
      <w:r>
        <w:rPr>
          <w:rFonts w:hint="eastAsia" w:ascii="黑体" w:hAnsi="黑体" w:eastAsia="黑体" w:cs="黑体"/>
          <w:color w:val="000000"/>
        </w:rPr>
        <w:t>3 检验依据</w:t>
      </w:r>
    </w:p>
    <w:p w14:paraId="76158977">
      <w:pPr>
        <w:spacing w:line="360" w:lineRule="auto"/>
        <w:jc w:val="center"/>
        <w:rPr>
          <w:rFonts w:ascii="Times New Roman" w:hAnsi="Times New Roman" w:eastAsia="黑体"/>
          <w:color w:val="000000"/>
        </w:rPr>
      </w:pPr>
      <w:r>
        <w:rPr>
          <w:rFonts w:hint="eastAsia" w:ascii="宋体" w:hAnsi="宋体" w:cs="宋体"/>
        </w:rPr>
        <w:t>表2 检验项目及检验依据</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3195"/>
        <w:gridCol w:w="2503"/>
        <w:gridCol w:w="993"/>
        <w:gridCol w:w="1079"/>
      </w:tblGrid>
      <w:tr w14:paraId="7150E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40" w:type="pct"/>
            <w:vAlign w:val="center"/>
          </w:tcPr>
          <w:p w14:paraId="645895E6">
            <w:pPr>
              <w:jc w:val="center"/>
              <w:rPr>
                <w:rFonts w:ascii="宋体" w:hAnsi="宋体" w:cs="宋体"/>
              </w:rPr>
            </w:pPr>
            <w:r>
              <w:rPr>
                <w:rFonts w:hint="eastAsia" w:ascii="宋体" w:hAnsi="宋体" w:cs="宋体"/>
              </w:rPr>
              <w:t>序号</w:t>
            </w:r>
          </w:p>
        </w:tc>
        <w:tc>
          <w:tcPr>
            <w:tcW w:w="1875" w:type="pct"/>
            <w:vAlign w:val="center"/>
          </w:tcPr>
          <w:p w14:paraId="145F1A34">
            <w:pPr>
              <w:adjustRightInd w:val="0"/>
              <w:snapToGrid w:val="0"/>
              <w:jc w:val="center"/>
              <w:rPr>
                <w:rFonts w:ascii="宋体" w:hAnsi="宋体" w:cs="宋体"/>
              </w:rPr>
            </w:pPr>
            <w:r>
              <w:rPr>
                <w:rFonts w:hint="eastAsia" w:ascii="宋体" w:hAnsi="宋体" w:cs="宋体"/>
              </w:rPr>
              <w:t>检验项目</w:t>
            </w:r>
          </w:p>
        </w:tc>
        <w:tc>
          <w:tcPr>
            <w:tcW w:w="1469" w:type="pct"/>
            <w:vAlign w:val="center"/>
          </w:tcPr>
          <w:p w14:paraId="240B0983">
            <w:pPr>
              <w:adjustRightInd w:val="0"/>
              <w:snapToGrid w:val="0"/>
              <w:jc w:val="center"/>
              <w:rPr>
                <w:rFonts w:ascii="宋体" w:hAnsi="宋体" w:cs="宋体"/>
              </w:rPr>
            </w:pPr>
            <w:r>
              <w:rPr>
                <w:rFonts w:hint="eastAsia" w:ascii="宋体" w:hAnsi="宋体" w:cs="宋体"/>
              </w:rPr>
              <w:t>检验方法</w:t>
            </w:r>
          </w:p>
        </w:tc>
        <w:tc>
          <w:tcPr>
            <w:tcW w:w="583" w:type="pct"/>
            <w:vAlign w:val="center"/>
          </w:tcPr>
          <w:p w14:paraId="75AD3950">
            <w:pPr>
              <w:adjustRightInd w:val="0"/>
              <w:snapToGrid w:val="0"/>
              <w:jc w:val="center"/>
              <w:rPr>
                <w:rFonts w:ascii="宋体" w:hAnsi="宋体" w:cs="宋体"/>
              </w:rPr>
            </w:pPr>
            <w:r>
              <w:rPr>
                <w:rFonts w:hint="eastAsia" w:ascii="宋体" w:hAnsi="宋体" w:cs="宋体"/>
              </w:rPr>
              <w:t>重要程度分级</w:t>
            </w:r>
          </w:p>
        </w:tc>
        <w:tc>
          <w:tcPr>
            <w:tcW w:w="633" w:type="pct"/>
            <w:vAlign w:val="center"/>
          </w:tcPr>
          <w:p w14:paraId="609CDFC7">
            <w:pPr>
              <w:widowControl/>
              <w:jc w:val="center"/>
              <w:rPr>
                <w:rFonts w:ascii="宋体" w:hAnsi="宋体" w:cs="宋体"/>
              </w:rPr>
            </w:pPr>
            <w:r>
              <w:rPr>
                <w:rFonts w:hint="eastAsia" w:ascii="宋体" w:hAnsi="宋体" w:cs="宋体"/>
                <w:color w:val="000000"/>
                <w:kern w:val="0"/>
              </w:rPr>
              <w:t>是否为环保指标</w:t>
            </w:r>
          </w:p>
        </w:tc>
      </w:tr>
      <w:tr w14:paraId="7C6F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0" w:type="pct"/>
            <w:vAlign w:val="center"/>
          </w:tcPr>
          <w:p w14:paraId="197F6385">
            <w:pPr>
              <w:jc w:val="center"/>
              <w:rPr>
                <w:rFonts w:ascii="宋体" w:hAnsi="宋体" w:cs="宋体"/>
              </w:rPr>
            </w:pPr>
            <w:r>
              <w:rPr>
                <w:rFonts w:hint="eastAsia" w:ascii="宋体" w:hAnsi="宋体" w:cs="宋体"/>
              </w:rPr>
              <w:t>1</w:t>
            </w:r>
          </w:p>
        </w:tc>
        <w:tc>
          <w:tcPr>
            <w:tcW w:w="1875" w:type="pct"/>
            <w:vAlign w:val="center"/>
          </w:tcPr>
          <w:p w14:paraId="522B6D8A">
            <w:pPr>
              <w:adjustRightInd w:val="0"/>
              <w:snapToGrid w:val="0"/>
              <w:jc w:val="center"/>
              <w:rPr>
                <w:rFonts w:ascii="宋体" w:hAnsi="宋体" w:cs="宋体"/>
              </w:rPr>
            </w:pPr>
            <w:r>
              <w:rPr>
                <w:rFonts w:hint="eastAsia" w:ascii="宋体" w:hAnsi="宋体" w:cs="宋体"/>
              </w:rPr>
              <w:t>低温动力黏度</w:t>
            </w:r>
          </w:p>
        </w:tc>
        <w:tc>
          <w:tcPr>
            <w:tcW w:w="1469" w:type="pct"/>
            <w:vAlign w:val="center"/>
          </w:tcPr>
          <w:p w14:paraId="00D34C21">
            <w:pPr>
              <w:adjustRightInd w:val="0"/>
              <w:snapToGrid w:val="0"/>
              <w:jc w:val="center"/>
              <w:rPr>
                <w:rFonts w:ascii="宋体" w:hAnsi="宋体" w:cs="宋体"/>
              </w:rPr>
            </w:pPr>
            <w:r>
              <w:rPr>
                <w:rFonts w:hint="eastAsia" w:ascii="宋体" w:hAnsi="宋体" w:cs="宋体"/>
              </w:rPr>
              <w:t>GB/T 6538—2022</w:t>
            </w:r>
          </w:p>
        </w:tc>
        <w:tc>
          <w:tcPr>
            <w:tcW w:w="583" w:type="pct"/>
            <w:vAlign w:val="center"/>
          </w:tcPr>
          <w:p w14:paraId="1E975E3D">
            <w:pPr>
              <w:adjustRightInd w:val="0"/>
              <w:snapToGrid w:val="0"/>
              <w:jc w:val="center"/>
              <w:rPr>
                <w:rFonts w:ascii="宋体" w:hAnsi="宋体" w:cs="宋体"/>
              </w:rPr>
            </w:pPr>
            <w:r>
              <w:rPr>
                <w:rFonts w:hint="eastAsia" w:ascii="宋体" w:hAnsi="宋体" w:cs="宋体"/>
              </w:rPr>
              <w:t>B</w:t>
            </w:r>
          </w:p>
        </w:tc>
        <w:tc>
          <w:tcPr>
            <w:tcW w:w="633" w:type="pct"/>
            <w:vAlign w:val="center"/>
          </w:tcPr>
          <w:p w14:paraId="152EA5FF">
            <w:pPr>
              <w:jc w:val="center"/>
              <w:rPr>
                <w:rFonts w:ascii="宋体" w:hAnsi="宋体" w:cs="宋体"/>
              </w:rPr>
            </w:pPr>
            <w:r>
              <w:rPr>
                <w:rFonts w:hint="eastAsia" w:ascii="宋体" w:hAnsi="宋体" w:cs="宋体"/>
                <w:bCs/>
                <w:color w:val="000000"/>
                <w:kern w:val="0"/>
              </w:rPr>
              <w:t>否</w:t>
            </w:r>
          </w:p>
        </w:tc>
      </w:tr>
      <w:tr w14:paraId="6B3C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0" w:type="pct"/>
            <w:vAlign w:val="center"/>
          </w:tcPr>
          <w:p w14:paraId="7AD42A33">
            <w:pPr>
              <w:jc w:val="center"/>
              <w:rPr>
                <w:rFonts w:ascii="宋体" w:hAnsi="宋体" w:cs="宋体"/>
              </w:rPr>
            </w:pPr>
            <w:r>
              <w:rPr>
                <w:rFonts w:hint="eastAsia" w:ascii="宋体" w:hAnsi="宋体" w:cs="宋体"/>
              </w:rPr>
              <w:t>2</w:t>
            </w:r>
          </w:p>
        </w:tc>
        <w:tc>
          <w:tcPr>
            <w:tcW w:w="1875" w:type="pct"/>
            <w:vAlign w:val="center"/>
          </w:tcPr>
          <w:p w14:paraId="061FFA57">
            <w:pPr>
              <w:adjustRightInd w:val="0"/>
              <w:snapToGrid w:val="0"/>
              <w:jc w:val="center"/>
              <w:rPr>
                <w:rFonts w:ascii="宋体" w:hAnsi="宋体" w:cs="宋体"/>
              </w:rPr>
            </w:pPr>
            <w:r>
              <w:rPr>
                <w:rFonts w:hint="eastAsia" w:ascii="宋体" w:hAnsi="宋体" w:cs="宋体"/>
              </w:rPr>
              <w:t>运动黏度（100℃）</w:t>
            </w:r>
          </w:p>
        </w:tc>
        <w:tc>
          <w:tcPr>
            <w:tcW w:w="1469" w:type="pct"/>
            <w:vAlign w:val="center"/>
          </w:tcPr>
          <w:p w14:paraId="0579B6A5">
            <w:pPr>
              <w:adjustRightInd w:val="0"/>
              <w:snapToGrid w:val="0"/>
              <w:jc w:val="center"/>
              <w:rPr>
                <w:rFonts w:ascii="宋体" w:hAnsi="宋体" w:cs="宋体"/>
              </w:rPr>
            </w:pPr>
            <w:r>
              <w:rPr>
                <w:rFonts w:hint="eastAsia" w:ascii="宋体" w:hAnsi="宋体" w:cs="宋体"/>
              </w:rPr>
              <w:t>GB/T 265—1988</w:t>
            </w:r>
          </w:p>
        </w:tc>
        <w:tc>
          <w:tcPr>
            <w:tcW w:w="583" w:type="pct"/>
            <w:vAlign w:val="center"/>
          </w:tcPr>
          <w:p w14:paraId="0D0343D0">
            <w:pPr>
              <w:adjustRightInd w:val="0"/>
              <w:snapToGrid w:val="0"/>
              <w:jc w:val="center"/>
              <w:rPr>
                <w:rFonts w:ascii="宋体" w:hAnsi="宋体" w:cs="宋体"/>
              </w:rPr>
            </w:pPr>
            <w:r>
              <w:rPr>
                <w:rFonts w:hint="eastAsia" w:ascii="宋体" w:hAnsi="宋体" w:cs="宋体"/>
              </w:rPr>
              <w:t>B</w:t>
            </w:r>
          </w:p>
        </w:tc>
        <w:tc>
          <w:tcPr>
            <w:tcW w:w="633" w:type="pct"/>
            <w:vAlign w:val="center"/>
          </w:tcPr>
          <w:p w14:paraId="08A71E10">
            <w:pPr>
              <w:jc w:val="center"/>
              <w:rPr>
                <w:rFonts w:ascii="宋体" w:hAnsi="宋体" w:cs="宋体"/>
              </w:rPr>
            </w:pPr>
            <w:r>
              <w:rPr>
                <w:rFonts w:hint="eastAsia" w:ascii="宋体" w:hAnsi="宋体" w:cs="宋体"/>
                <w:bCs/>
                <w:color w:val="000000"/>
                <w:kern w:val="0"/>
              </w:rPr>
              <w:t>否</w:t>
            </w:r>
          </w:p>
        </w:tc>
      </w:tr>
      <w:tr w14:paraId="5AC5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0" w:type="pct"/>
            <w:vAlign w:val="center"/>
          </w:tcPr>
          <w:p w14:paraId="02C7CF0B">
            <w:pPr>
              <w:jc w:val="center"/>
              <w:rPr>
                <w:rFonts w:ascii="宋体" w:hAnsi="宋体" w:cs="宋体"/>
              </w:rPr>
            </w:pPr>
            <w:r>
              <w:rPr>
                <w:rFonts w:hint="eastAsia" w:ascii="宋体" w:hAnsi="宋体" w:cs="宋体"/>
              </w:rPr>
              <w:t>3</w:t>
            </w:r>
          </w:p>
        </w:tc>
        <w:tc>
          <w:tcPr>
            <w:tcW w:w="1875" w:type="pct"/>
            <w:vAlign w:val="center"/>
          </w:tcPr>
          <w:p w14:paraId="5A2310F2">
            <w:pPr>
              <w:adjustRightInd w:val="0"/>
              <w:snapToGrid w:val="0"/>
              <w:jc w:val="center"/>
              <w:rPr>
                <w:rFonts w:ascii="宋体" w:hAnsi="宋体" w:cs="宋体"/>
              </w:rPr>
            </w:pPr>
            <w:r>
              <w:rPr>
                <w:rFonts w:hint="eastAsia" w:ascii="宋体" w:hAnsi="宋体" w:cs="宋体"/>
              </w:rPr>
              <w:t>机械杂质</w:t>
            </w:r>
          </w:p>
        </w:tc>
        <w:tc>
          <w:tcPr>
            <w:tcW w:w="1469" w:type="pct"/>
            <w:vAlign w:val="center"/>
          </w:tcPr>
          <w:p w14:paraId="55428DC3">
            <w:pPr>
              <w:adjustRightInd w:val="0"/>
              <w:snapToGrid w:val="0"/>
              <w:jc w:val="center"/>
              <w:rPr>
                <w:rFonts w:ascii="宋体" w:hAnsi="宋体" w:cs="宋体"/>
              </w:rPr>
            </w:pPr>
            <w:r>
              <w:rPr>
                <w:rFonts w:hint="eastAsia" w:ascii="宋体" w:hAnsi="宋体" w:cs="宋体"/>
              </w:rPr>
              <w:t>GB/T 511—2010</w:t>
            </w:r>
          </w:p>
        </w:tc>
        <w:tc>
          <w:tcPr>
            <w:tcW w:w="583" w:type="pct"/>
            <w:vAlign w:val="center"/>
          </w:tcPr>
          <w:p w14:paraId="19CF0919">
            <w:pPr>
              <w:adjustRightInd w:val="0"/>
              <w:snapToGrid w:val="0"/>
              <w:jc w:val="center"/>
              <w:rPr>
                <w:rFonts w:ascii="宋体" w:hAnsi="宋体" w:cs="宋体"/>
              </w:rPr>
            </w:pPr>
            <w:r>
              <w:rPr>
                <w:rFonts w:hint="eastAsia" w:ascii="宋体" w:hAnsi="宋体" w:cs="宋体"/>
              </w:rPr>
              <w:t>B</w:t>
            </w:r>
          </w:p>
        </w:tc>
        <w:tc>
          <w:tcPr>
            <w:tcW w:w="633" w:type="pct"/>
            <w:vAlign w:val="center"/>
          </w:tcPr>
          <w:p w14:paraId="53E0689E">
            <w:pPr>
              <w:jc w:val="center"/>
              <w:rPr>
                <w:rFonts w:ascii="宋体" w:hAnsi="宋体" w:cs="宋体"/>
              </w:rPr>
            </w:pPr>
            <w:r>
              <w:rPr>
                <w:rFonts w:hint="eastAsia" w:ascii="宋体" w:hAnsi="宋体" w:cs="宋体"/>
              </w:rPr>
              <w:t>否</w:t>
            </w:r>
          </w:p>
        </w:tc>
      </w:tr>
      <w:tr w14:paraId="282BB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0" w:type="pct"/>
            <w:vAlign w:val="center"/>
          </w:tcPr>
          <w:p w14:paraId="2AF50042">
            <w:pPr>
              <w:jc w:val="center"/>
              <w:rPr>
                <w:rFonts w:ascii="宋体" w:hAnsi="宋体" w:cs="宋体"/>
              </w:rPr>
            </w:pPr>
            <w:r>
              <w:rPr>
                <w:rFonts w:hint="eastAsia" w:ascii="宋体" w:hAnsi="宋体" w:cs="宋体"/>
              </w:rPr>
              <w:t>4</w:t>
            </w:r>
          </w:p>
        </w:tc>
        <w:tc>
          <w:tcPr>
            <w:tcW w:w="1875" w:type="pct"/>
            <w:vAlign w:val="center"/>
          </w:tcPr>
          <w:p w14:paraId="08D7A4CC">
            <w:pPr>
              <w:adjustRightInd w:val="0"/>
              <w:snapToGrid w:val="0"/>
              <w:jc w:val="center"/>
              <w:rPr>
                <w:rFonts w:ascii="宋体" w:hAnsi="宋体" w:cs="宋体"/>
              </w:rPr>
            </w:pPr>
            <w:r>
              <w:rPr>
                <w:rFonts w:hint="eastAsia" w:ascii="宋体" w:hAnsi="宋体" w:cs="宋体"/>
              </w:rPr>
              <w:t>闪点（开口）</w:t>
            </w:r>
          </w:p>
        </w:tc>
        <w:tc>
          <w:tcPr>
            <w:tcW w:w="1469" w:type="pct"/>
            <w:vAlign w:val="center"/>
          </w:tcPr>
          <w:p w14:paraId="75CCE675">
            <w:pPr>
              <w:adjustRightInd w:val="0"/>
              <w:snapToGrid w:val="0"/>
              <w:jc w:val="center"/>
              <w:rPr>
                <w:rFonts w:ascii="宋体" w:hAnsi="宋体" w:cs="宋体"/>
              </w:rPr>
            </w:pPr>
            <w:r>
              <w:rPr>
                <w:rFonts w:hint="eastAsia" w:ascii="宋体" w:hAnsi="宋体" w:cs="宋体"/>
              </w:rPr>
              <w:t>GB/T 3536—2008</w:t>
            </w:r>
          </w:p>
        </w:tc>
        <w:tc>
          <w:tcPr>
            <w:tcW w:w="583" w:type="pct"/>
            <w:vAlign w:val="center"/>
          </w:tcPr>
          <w:p w14:paraId="328F9EDB">
            <w:pPr>
              <w:adjustRightInd w:val="0"/>
              <w:snapToGrid w:val="0"/>
              <w:jc w:val="center"/>
              <w:rPr>
                <w:rFonts w:ascii="宋体" w:hAnsi="宋体" w:cs="宋体"/>
              </w:rPr>
            </w:pPr>
            <w:r>
              <w:rPr>
                <w:rFonts w:hint="eastAsia" w:ascii="宋体" w:hAnsi="宋体" w:cs="宋体"/>
              </w:rPr>
              <w:t>B</w:t>
            </w:r>
          </w:p>
        </w:tc>
        <w:tc>
          <w:tcPr>
            <w:tcW w:w="633" w:type="pct"/>
            <w:vAlign w:val="center"/>
          </w:tcPr>
          <w:p w14:paraId="1F26358A">
            <w:pPr>
              <w:jc w:val="center"/>
              <w:rPr>
                <w:rFonts w:ascii="宋体" w:hAnsi="宋体" w:cs="宋体"/>
              </w:rPr>
            </w:pPr>
            <w:r>
              <w:rPr>
                <w:rFonts w:hint="eastAsia" w:ascii="宋体" w:hAnsi="宋体" w:cs="宋体"/>
              </w:rPr>
              <w:t>否</w:t>
            </w:r>
          </w:p>
        </w:tc>
      </w:tr>
    </w:tbl>
    <w:p w14:paraId="7DE64ADA">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重要程度分级：A类-极重要质量项目，是指直接涉及影响人身健康、安全的指标；B类-重要质量项目，是指产品涉及环保、能效、关键或特征性指标等；C类-一般质量项目，外观、尺寸等不直接影响产品使用的指标。</w:t>
      </w:r>
    </w:p>
    <w:p w14:paraId="0B79CDC7">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执行企业标准、团体标准、地方标准的产品，检验项目参照上述内容执行。</w:t>
      </w:r>
    </w:p>
    <w:p w14:paraId="43F0DD86">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50D6C2F5">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依照有关规定或产品适用标准，需要检测的其他项目，可视情况进行调整。</w:t>
      </w:r>
    </w:p>
    <w:p w14:paraId="74303CAD">
      <w:pPr>
        <w:adjustRightInd w:val="0"/>
        <w:snapToGrid w:val="0"/>
        <w:spacing w:beforeLines="100" w:afterLines="100" w:line="440" w:lineRule="exact"/>
        <w:rPr>
          <w:rFonts w:ascii="黑体" w:hAnsi="黑体" w:eastAsia="黑体" w:cs="黑体"/>
          <w:color w:val="000000"/>
        </w:rPr>
      </w:pPr>
      <w:r>
        <w:rPr>
          <w:rFonts w:hint="eastAsia" w:ascii="黑体" w:hAnsi="黑体" w:eastAsia="黑体" w:cs="黑体"/>
          <w:color w:val="000000"/>
        </w:rPr>
        <w:t>4 判定规则</w:t>
      </w:r>
    </w:p>
    <w:p w14:paraId="48FA941F">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4.1依据标准</w:t>
      </w:r>
    </w:p>
    <w:p w14:paraId="24E96C56">
      <w:pPr>
        <w:adjustRightInd w:val="0"/>
        <w:snapToGrid w:val="0"/>
        <w:spacing w:line="440" w:lineRule="exact"/>
        <w:ind w:firstLine="420" w:firstLineChars="200"/>
        <w:rPr>
          <w:rFonts w:ascii="宋体" w:hAnsi="宋体" w:cs="宋体"/>
          <w:color w:val="000000"/>
        </w:rPr>
      </w:pPr>
      <w:bookmarkStart w:id="0" w:name="_Hlk32567754"/>
      <w:r>
        <w:rPr>
          <w:rFonts w:hint="eastAsia" w:ascii="宋体" w:hAnsi="宋体" w:cs="宋体"/>
          <w:color w:val="000000"/>
        </w:rPr>
        <w:t>GB 11121—2006 汽油机油</w:t>
      </w:r>
    </w:p>
    <w:p w14:paraId="762FFCAE">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GB 11122—2006 柴油机油</w:t>
      </w:r>
    </w:p>
    <w:p w14:paraId="4498198C">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现行有效的企业标准、团体标准、地方标准及产品明示质量要求</w:t>
      </w:r>
    </w:p>
    <w:bookmarkEnd w:id="0"/>
    <w:p w14:paraId="03F71656">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4.2判定原则</w:t>
      </w:r>
    </w:p>
    <w:p w14:paraId="550D010D">
      <w:pPr>
        <w:adjustRightInd w:val="0"/>
        <w:snapToGrid w:val="0"/>
        <w:spacing w:line="440" w:lineRule="exact"/>
        <w:ind w:firstLine="420" w:firstLineChars="200"/>
        <w:rPr>
          <w:rFonts w:ascii="宋体" w:hAnsi="宋体" w:cs="宋体"/>
          <w:color w:val="000000"/>
        </w:rPr>
      </w:pPr>
      <w:bookmarkStart w:id="1" w:name="_Hlk33514746"/>
      <w:r>
        <w:rPr>
          <w:rFonts w:hint="eastAsia" w:ascii="宋体" w:hAnsi="宋体" w:cs="宋体"/>
          <w:color w:val="000000"/>
        </w:rPr>
        <w:t>经检验，检验项目全部合格，判定为被抽查产品所检项目未发现不合格；检验项目中任一项或一项以上不合格，判定为被抽查产品不合格。</w:t>
      </w:r>
    </w:p>
    <w:p w14:paraId="512B798E">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若被检产品明示的质量要求高于本细则中检验项目依据的标准要求时，应按被检产品明示的质量要求判定。</w:t>
      </w:r>
    </w:p>
    <w:p w14:paraId="77B63220">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若被检产品明示的质量要求低于本细则中检验项目依据的强制性标准要求时，应按照强制性标准要求判定。</w:t>
      </w:r>
    </w:p>
    <w:p w14:paraId="0F01CBC0">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若被检产品明示的质量要求缺少本细则中检验项目依据的强制性标准要求时，应按照强制性标准要求判定。</w:t>
      </w:r>
      <w:bookmarkEnd w:id="1"/>
    </w:p>
    <w:p w14:paraId="12D56659">
      <w:pPr>
        <w:spacing w:line="500" w:lineRule="exact"/>
        <w:jc w:val="center"/>
      </w:pPr>
    </w:p>
    <w:p w14:paraId="6C7A09BA">
      <w:pPr>
        <w:spacing w:line="500" w:lineRule="exact"/>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1NjM4ODI3ZmNkOGUwOTIwZTBkYWYxYmU0NTQ3ZTgifQ=="/>
  </w:docVars>
  <w:rsids>
    <w:rsidRoot w:val="00907414"/>
    <w:rsid w:val="0019411E"/>
    <w:rsid w:val="002133C5"/>
    <w:rsid w:val="00250E1D"/>
    <w:rsid w:val="002960DF"/>
    <w:rsid w:val="002A1ECA"/>
    <w:rsid w:val="002B2E5C"/>
    <w:rsid w:val="002F121F"/>
    <w:rsid w:val="002F1451"/>
    <w:rsid w:val="003C7926"/>
    <w:rsid w:val="003D482C"/>
    <w:rsid w:val="00492AF7"/>
    <w:rsid w:val="0050118B"/>
    <w:rsid w:val="005164F4"/>
    <w:rsid w:val="005E374B"/>
    <w:rsid w:val="00633DD4"/>
    <w:rsid w:val="0069105A"/>
    <w:rsid w:val="006B7374"/>
    <w:rsid w:val="006D3F32"/>
    <w:rsid w:val="006F43B0"/>
    <w:rsid w:val="00730D59"/>
    <w:rsid w:val="00733C6B"/>
    <w:rsid w:val="0075403F"/>
    <w:rsid w:val="00810E66"/>
    <w:rsid w:val="00880A1A"/>
    <w:rsid w:val="00881736"/>
    <w:rsid w:val="00907414"/>
    <w:rsid w:val="00927C9B"/>
    <w:rsid w:val="00A9344C"/>
    <w:rsid w:val="00AA4706"/>
    <w:rsid w:val="00BB755F"/>
    <w:rsid w:val="00C53416"/>
    <w:rsid w:val="00C57AD2"/>
    <w:rsid w:val="00CB65FC"/>
    <w:rsid w:val="00CC29D6"/>
    <w:rsid w:val="00CF42C8"/>
    <w:rsid w:val="00DB0AA4"/>
    <w:rsid w:val="00DC6BA1"/>
    <w:rsid w:val="00E36203"/>
    <w:rsid w:val="00E556BB"/>
    <w:rsid w:val="00E6204D"/>
    <w:rsid w:val="00EB6406"/>
    <w:rsid w:val="00F238E2"/>
    <w:rsid w:val="0C6F608E"/>
    <w:rsid w:val="1C161DDD"/>
    <w:rsid w:val="5C7D2664"/>
    <w:rsid w:val="6D922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ascii="Times New Roman" w:hAnsi="Times New Roman"/>
      <w:szCs w:val="24"/>
    </w:rPr>
  </w:style>
  <w:style w:type="paragraph" w:styleId="3">
    <w:name w:val="Plain Text"/>
    <w:basedOn w:val="1"/>
    <w:link w:val="13"/>
    <w:unhideWhenUsed/>
    <w:qFormat/>
    <w:uiPriority w:val="99"/>
    <w:rPr>
      <w:rFonts w:ascii="宋体" w:hAnsi="Courier New"/>
      <w:kern w:val="0"/>
      <w:sz w:val="20"/>
      <w:szCs w:val="20"/>
    </w:rPr>
  </w:style>
  <w:style w:type="paragraph" w:styleId="4">
    <w:name w:val="Balloon Text"/>
    <w:basedOn w:val="1"/>
    <w:link w:val="15"/>
    <w:semiHidden/>
    <w:unhideWhenUsed/>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semiHidden/>
    <w:qFormat/>
    <w:uiPriority w:val="99"/>
    <w:rPr>
      <w:sz w:val="18"/>
      <w:szCs w:val="18"/>
    </w:rPr>
  </w:style>
  <w:style w:type="character" w:customStyle="1" w:styleId="12">
    <w:name w:val="页脚 Char"/>
    <w:basedOn w:val="10"/>
    <w:link w:val="5"/>
    <w:semiHidden/>
    <w:qFormat/>
    <w:uiPriority w:val="99"/>
    <w:rPr>
      <w:sz w:val="18"/>
      <w:szCs w:val="18"/>
    </w:rPr>
  </w:style>
  <w:style w:type="character" w:customStyle="1" w:styleId="13">
    <w:name w:val="纯文本 Char"/>
    <w:basedOn w:val="10"/>
    <w:link w:val="3"/>
    <w:qFormat/>
    <w:uiPriority w:val="99"/>
    <w:rPr>
      <w:rFonts w:ascii="宋体" w:hAnsi="Courier New" w:eastAsia="宋体" w:cs="Times New Roman"/>
      <w:kern w:val="0"/>
      <w:sz w:val="20"/>
      <w:szCs w:val="20"/>
    </w:rPr>
  </w:style>
  <w:style w:type="paragraph" w:customStyle="1" w:styleId="14">
    <w:name w:val="列出段落1"/>
    <w:basedOn w:val="1"/>
    <w:qFormat/>
    <w:uiPriority w:val="34"/>
    <w:pPr>
      <w:ind w:firstLine="420" w:firstLineChars="200"/>
    </w:pPr>
  </w:style>
  <w:style w:type="character" w:customStyle="1" w:styleId="15">
    <w:name w:val="批注框文本 Char"/>
    <w:basedOn w:val="10"/>
    <w:link w:val="4"/>
    <w:semiHidden/>
    <w:qFormat/>
    <w:uiPriority w:val="99"/>
    <w:rPr>
      <w:rFonts w:ascii="Calibri" w:hAnsi="Calibri" w:eastAsia="宋体" w:cs="Times New Roman"/>
      <w:kern w:val="2"/>
      <w:sz w:val="18"/>
      <w:szCs w:val="18"/>
    </w:rPr>
  </w:style>
  <w:style w:type="paragraph" w:styleId="16">
    <w:name w:val="List Paragraph"/>
    <w:basedOn w:val="1"/>
    <w:unhideWhenUsed/>
    <w:uiPriority w:val="99"/>
    <w:pPr>
      <w:ind w:firstLine="420" w:firstLineChars="200"/>
    </w:pPr>
  </w:style>
  <w:style w:type="character" w:customStyle="1" w:styleId="17">
    <w:name w:val="批注文字 Char"/>
    <w:basedOn w:val="10"/>
    <w:link w:val="2"/>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4087</Words>
  <Characters>4737</Characters>
  <Lines>37</Lines>
  <Paragraphs>10</Paragraphs>
  <TotalTime>152</TotalTime>
  <ScaleCrop>false</ScaleCrop>
  <LinksUpToDate>false</LinksUpToDate>
  <CharactersWithSpaces>4948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2025-03-25T02:50:00Z</dcterms:created>
  <dc:creator>微软用户</dc:creator>
  <cp:lastModifiedBy>魏导</cp:lastModifiedBy>
  <dcterms:modified xsi:type="dcterms:W3CDTF">2025-08-28T09:01:09Z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710214C21DC142F88B20517C4F58FC97_12</vt:lpwstr>
  </property>
  <property fmtid="{D5CDD505-2E9C-101B-9397-08002B2CF9AE}" pid="4" name="KSOTemplateDocerSaveRecord">
    <vt:lpwstr>eyJoZGlkIjoiMzljZTI1ZjRhNzE5MDQ1NjNlNDRhNDJmNzk1ODU2MmIiLCJ1c2VySWQiOiIxNjgzMjY5OTAifQ==</vt:lpwstr>
  </property>
</Properties>
</file>