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C5788">
      <w:pPr>
        <w:keepNext w:val="0"/>
        <w:keepLines w:val="0"/>
        <w:pageBreakBefore w:val="0"/>
        <w:widowControl w:val="0"/>
        <w:kinsoku/>
        <w:wordWrap/>
        <w:overflowPunct/>
        <w:topLinePunct w:val="0"/>
        <w:autoSpaceDE/>
        <w:autoSpaceDN/>
        <w:bidi w:val="0"/>
        <w:adjustRightInd/>
        <w:snapToGrid/>
        <w:spacing w:line="597" w:lineRule="exact"/>
        <w:ind w:left="0" w:leftChars="0" w:firstLine="0" w:firstLineChars="0"/>
        <w:jc w:val="center"/>
        <w:textAlignment w:val="auto"/>
        <w:rPr>
          <w:rFonts w:hint="default" w:ascii="Times New Roman" w:hAnsi="Times New Roman" w:eastAsia="宋体"/>
          <w:sz w:val="32"/>
          <w:szCs w:val="32"/>
          <w:lang w:val="en-US"/>
        </w:rPr>
      </w:pPr>
      <w:r>
        <w:rPr>
          <w:rFonts w:hint="eastAsia" w:ascii="方正小标宋简体" w:hAnsi="方正小标宋简体" w:eastAsia="方正小标宋简体" w:cs="方正小标宋简体"/>
          <w:sz w:val="32"/>
          <w:szCs w:val="32"/>
          <w:lang w:val="en-US" w:eastAsia="zh-CN"/>
        </w:rPr>
        <w:t>唐山市涂料产品质量监督抽查实施细则（2025年版）</w:t>
      </w:r>
    </w:p>
    <w:p w14:paraId="7B4B7D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p>
    <w:p w14:paraId="586AEE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 抽样方法</w:t>
      </w:r>
    </w:p>
    <w:p w14:paraId="5AD8B7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本次抽查采用随机抽样，抽取的样品应为同规格、同批次的产品，抽取有产品质量检验合格证明或者以其他形式表明合格的</w:t>
      </w:r>
      <w:r>
        <w:rPr>
          <w:rFonts w:hint="eastAsia" w:ascii="Times New Roman" w:hAnsi="Times New Roman" w:eastAsia="宋体"/>
          <w:sz w:val="21"/>
          <w:szCs w:val="21"/>
          <w:lang w:eastAsia="zh-CN"/>
        </w:rPr>
        <w:t>，</w:t>
      </w:r>
      <w:r>
        <w:rPr>
          <w:rFonts w:hint="eastAsia" w:ascii="Times New Roman" w:hAnsi="Times New Roman" w:eastAsia="宋体"/>
          <w:sz w:val="21"/>
          <w:szCs w:val="21"/>
        </w:rPr>
        <w:t>如存在多个规格型号，优先抽取企业的主导产品。</w:t>
      </w:r>
    </w:p>
    <w:p w14:paraId="3CEBFD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随机数一般可使用随机数表、随机数骰子或扑克牌等方法产生。</w:t>
      </w:r>
    </w:p>
    <w:p w14:paraId="0DDE9E02">
      <w:pPr>
        <w:pStyle w:val="2"/>
        <w:rPr>
          <w:rFonts w:hint="eastAsia"/>
        </w:rPr>
      </w:pPr>
    </w:p>
    <w:p w14:paraId="4DF8E4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2 检验依据</w:t>
      </w:r>
    </w:p>
    <w:tbl>
      <w:tblPr>
        <w:tblStyle w:val="3"/>
        <w:tblW w:w="1034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2022"/>
        <w:gridCol w:w="1410"/>
        <w:gridCol w:w="1239"/>
        <w:gridCol w:w="1546"/>
        <w:gridCol w:w="3735"/>
      </w:tblGrid>
      <w:tr w14:paraId="1448D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396" w:type="dxa"/>
            <w:noWrap w:val="0"/>
            <w:vAlign w:val="center"/>
          </w:tcPr>
          <w:p w14:paraId="0223FB56">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序号</w:t>
            </w:r>
          </w:p>
        </w:tc>
        <w:tc>
          <w:tcPr>
            <w:tcW w:w="2022" w:type="dxa"/>
            <w:noWrap w:val="0"/>
            <w:vAlign w:val="center"/>
          </w:tcPr>
          <w:p w14:paraId="70A92513">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明示标准</w:t>
            </w:r>
          </w:p>
        </w:tc>
        <w:tc>
          <w:tcPr>
            <w:tcW w:w="1410" w:type="dxa"/>
            <w:noWrap w:val="0"/>
            <w:vAlign w:val="center"/>
          </w:tcPr>
          <w:p w14:paraId="7976E2C1">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产品名称</w:t>
            </w:r>
          </w:p>
        </w:tc>
        <w:tc>
          <w:tcPr>
            <w:tcW w:w="1239" w:type="dxa"/>
            <w:noWrap w:val="0"/>
            <w:vAlign w:val="center"/>
          </w:tcPr>
          <w:p w14:paraId="3CD7B74A">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样品等级</w:t>
            </w:r>
          </w:p>
        </w:tc>
        <w:tc>
          <w:tcPr>
            <w:tcW w:w="1546" w:type="dxa"/>
            <w:noWrap w:val="0"/>
            <w:vAlign w:val="center"/>
          </w:tcPr>
          <w:p w14:paraId="7F314085">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抽样数量</w:t>
            </w:r>
          </w:p>
        </w:tc>
        <w:tc>
          <w:tcPr>
            <w:tcW w:w="3735" w:type="dxa"/>
            <w:noWrap w:val="0"/>
            <w:vAlign w:val="center"/>
          </w:tcPr>
          <w:p w14:paraId="2E3FBFF3">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r>
              <w:rPr>
                <w:rFonts w:hint="eastAsia" w:ascii="宋体" w:hAnsi="宋体" w:cs="宋体"/>
                <w:sz w:val="21"/>
                <w:szCs w:val="21"/>
              </w:rPr>
              <w:t>检验方法</w:t>
            </w:r>
          </w:p>
        </w:tc>
      </w:tr>
      <w:tr w14:paraId="613B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396" w:type="dxa"/>
            <w:noWrap w:val="0"/>
            <w:vAlign w:val="center"/>
          </w:tcPr>
          <w:p w14:paraId="0326F4CB">
            <w:pPr>
              <w:keepNext w:val="0"/>
              <w:keepLines w:val="0"/>
              <w:pageBreakBefore w:val="0"/>
              <w:widowControl w:val="0"/>
              <w:numPr>
                <w:ilvl w:val="0"/>
                <w:numId w:val="1"/>
              </w:numPr>
              <w:tabs>
                <w:tab w:val="left" w:pos="420"/>
              </w:tabs>
              <w:kinsoku/>
              <w:wordWrap/>
              <w:overflowPunct/>
              <w:topLinePunct w:val="0"/>
              <w:autoSpaceDE/>
              <w:autoSpaceDN/>
              <w:bidi w:val="0"/>
              <w:adjustRightInd/>
              <w:spacing w:line="280" w:lineRule="exact"/>
              <w:ind w:left="0" w:leftChars="0" w:firstLine="0" w:firstLineChars="0"/>
              <w:jc w:val="center"/>
              <w:textAlignment w:val="auto"/>
              <w:rPr>
                <w:rFonts w:ascii="宋体" w:hAnsi="宋体" w:cs="宋体"/>
                <w:sz w:val="21"/>
                <w:szCs w:val="21"/>
              </w:rPr>
            </w:pPr>
          </w:p>
        </w:tc>
        <w:tc>
          <w:tcPr>
            <w:tcW w:w="2022" w:type="dxa"/>
            <w:noWrap w:val="0"/>
            <w:vAlign w:val="center"/>
          </w:tcPr>
          <w:p w14:paraId="5B5C8259">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both"/>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GB/T 9755-2024</w:t>
            </w:r>
          </w:p>
          <w:p w14:paraId="778F5999">
            <w:pPr>
              <w:pStyle w:val="2"/>
              <w:ind w:left="0" w:leftChars="0" w:firstLine="0" w:firstLineChars="0"/>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GB/T 9755-2014</w:t>
            </w:r>
          </w:p>
          <w:p w14:paraId="0F7E2AB5">
            <w:pPr>
              <w:rPr>
                <w:rFonts w:hint="default"/>
                <w:lang w:val="en-US" w:eastAsia="zh-CN"/>
              </w:rPr>
            </w:pPr>
            <w:r>
              <w:rPr>
                <w:rFonts w:hint="eastAsia" w:ascii="宋体" w:hAnsi="宋体" w:cs="宋体" w:eastAsiaTheme="minorEastAsia"/>
                <w:kern w:val="2"/>
                <w:sz w:val="21"/>
                <w:szCs w:val="21"/>
                <w:lang w:val="en-US" w:eastAsia="zh-CN" w:bidi="ar-SA"/>
              </w:rPr>
              <w:t>GB/T 9756-2018</w:t>
            </w:r>
          </w:p>
        </w:tc>
        <w:tc>
          <w:tcPr>
            <w:tcW w:w="1410" w:type="dxa"/>
            <w:noWrap w:val="0"/>
            <w:vAlign w:val="center"/>
          </w:tcPr>
          <w:p w14:paraId="34CEC99A">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center"/>
              <w:textAlignment w:val="auto"/>
              <w:rPr>
                <w:rFonts w:hint="default" w:ascii="宋体" w:hAnsi="宋体" w:cs="宋体" w:eastAsiaTheme="minorEastAsia"/>
                <w:sz w:val="21"/>
                <w:szCs w:val="21"/>
                <w:lang w:val="en-US" w:eastAsia="zh-CN"/>
              </w:rPr>
            </w:pPr>
            <w:r>
              <w:rPr>
                <w:rFonts w:hint="eastAsia" w:ascii="宋体" w:hAnsi="宋体" w:cs="宋体"/>
                <w:sz w:val="21"/>
                <w:szCs w:val="21"/>
                <w:lang w:val="en-US" w:eastAsia="zh-CN"/>
              </w:rPr>
              <w:t>涂料</w:t>
            </w:r>
          </w:p>
        </w:tc>
        <w:tc>
          <w:tcPr>
            <w:tcW w:w="1239" w:type="dxa"/>
            <w:noWrap w:val="0"/>
            <w:vAlign w:val="center"/>
          </w:tcPr>
          <w:p w14:paraId="7F127EEA">
            <w:pPr>
              <w:pStyle w:val="2"/>
              <w:ind w:left="0" w:leftChars="0" w:firstLine="0" w:firstLineChars="0"/>
              <w:jc w:val="both"/>
              <w:rPr>
                <w:rFonts w:hint="eastAsia"/>
                <w:lang w:val="en-US" w:eastAsia="zh-CN"/>
              </w:rPr>
            </w:pPr>
            <w:r>
              <w:rPr>
                <w:rFonts w:hint="eastAsia"/>
                <w:lang w:val="en-US" w:eastAsia="zh-CN"/>
              </w:rPr>
              <w:t>合格品</w:t>
            </w:r>
          </w:p>
          <w:p w14:paraId="0F95A31D">
            <w:pPr>
              <w:rPr>
                <w:rFonts w:hint="eastAsia"/>
                <w:lang w:val="en-US" w:eastAsia="zh-CN"/>
              </w:rPr>
            </w:pPr>
            <w:r>
              <w:rPr>
                <w:rFonts w:hint="eastAsia"/>
                <w:lang w:val="en-US" w:eastAsia="zh-CN"/>
              </w:rPr>
              <w:t>一等品</w:t>
            </w:r>
          </w:p>
          <w:p w14:paraId="7F761A40">
            <w:pPr>
              <w:pStyle w:val="2"/>
              <w:ind w:left="0" w:leftChars="0" w:firstLine="0" w:firstLineChars="0"/>
              <w:rPr>
                <w:rFonts w:hint="default"/>
                <w:lang w:val="en-US" w:eastAsia="zh-CN"/>
              </w:rPr>
            </w:pPr>
            <w:r>
              <w:rPr>
                <w:rFonts w:hint="eastAsia"/>
                <w:lang w:val="en-US" w:eastAsia="zh-CN"/>
              </w:rPr>
              <w:t>优等品</w:t>
            </w:r>
          </w:p>
        </w:tc>
        <w:tc>
          <w:tcPr>
            <w:tcW w:w="1546" w:type="dxa"/>
            <w:noWrap w:val="0"/>
            <w:vAlign w:val="center"/>
          </w:tcPr>
          <w:p w14:paraId="70E8E23D">
            <w:pPr>
              <w:keepNext w:val="0"/>
              <w:keepLines w:val="0"/>
              <w:pageBreakBefore w:val="0"/>
              <w:widowControl w:val="0"/>
              <w:kinsoku/>
              <w:wordWrap/>
              <w:overflowPunct/>
              <w:topLinePunct w:val="0"/>
              <w:autoSpaceDE/>
              <w:autoSpaceDN/>
              <w:bidi w:val="0"/>
              <w:adjustRightInd/>
              <w:spacing w:line="280" w:lineRule="exact"/>
              <w:ind w:left="0" w:leftChars="0" w:firstLine="0" w:firstLineChars="0"/>
              <w:jc w:val="both"/>
              <w:textAlignment w:val="auto"/>
              <w:rPr>
                <w:rFonts w:ascii="宋体" w:hAnsi="宋体" w:cs="宋体"/>
                <w:sz w:val="21"/>
                <w:szCs w:val="21"/>
              </w:rPr>
            </w:pPr>
            <w:r>
              <w:rPr>
                <w:rFonts w:hint="eastAsia" w:ascii="宋体" w:hAnsi="宋体" w:cs="宋体"/>
                <w:sz w:val="21"/>
                <w:szCs w:val="21"/>
                <w:lang w:val="en-US" w:eastAsia="zh-CN"/>
              </w:rPr>
              <w:t>2 kg</w:t>
            </w:r>
            <w:r>
              <w:rPr>
                <w:rFonts w:hint="eastAsia" w:ascii="宋体" w:hAnsi="宋体" w:cs="宋体"/>
                <w:sz w:val="21"/>
                <w:szCs w:val="21"/>
              </w:rPr>
              <w:t>（检验用样品</w:t>
            </w:r>
            <w:r>
              <w:rPr>
                <w:rFonts w:hint="eastAsia" w:ascii="宋体" w:hAnsi="宋体" w:cs="宋体"/>
                <w:sz w:val="21"/>
                <w:szCs w:val="21"/>
                <w:lang w:val="en-US" w:eastAsia="zh-CN"/>
              </w:rPr>
              <w:t>1 kg</w:t>
            </w:r>
            <w:r>
              <w:rPr>
                <w:rFonts w:hint="eastAsia" w:ascii="宋体" w:hAnsi="宋体" w:cs="宋体"/>
                <w:sz w:val="21"/>
                <w:szCs w:val="21"/>
              </w:rPr>
              <w:t>，备用样品</w:t>
            </w:r>
            <w:r>
              <w:rPr>
                <w:rFonts w:hint="eastAsia" w:ascii="宋体" w:hAnsi="宋体" w:cs="宋体"/>
                <w:sz w:val="21"/>
                <w:szCs w:val="21"/>
                <w:lang w:val="en-US" w:eastAsia="zh-CN"/>
              </w:rPr>
              <w:t>1 kg</w:t>
            </w:r>
            <w:r>
              <w:rPr>
                <w:rFonts w:hint="eastAsia" w:ascii="宋体" w:hAnsi="宋体" w:cs="宋体"/>
                <w:sz w:val="21"/>
                <w:szCs w:val="21"/>
              </w:rPr>
              <w:t>）</w:t>
            </w:r>
          </w:p>
        </w:tc>
        <w:tc>
          <w:tcPr>
            <w:tcW w:w="3735" w:type="dxa"/>
            <w:noWrap w:val="0"/>
            <w:vAlign w:val="center"/>
          </w:tcPr>
          <w:p w14:paraId="6D8AC7E6">
            <w:pPr>
              <w:pStyle w:val="2"/>
              <w:keepNext w:val="0"/>
              <w:keepLines w:val="0"/>
              <w:pageBreakBefore w:val="0"/>
              <w:widowControl w:val="0"/>
              <w:numPr>
                <w:ilvl w:val="0"/>
                <w:numId w:val="2"/>
              </w:numPr>
              <w:kinsoku/>
              <w:wordWrap/>
              <w:overflowPunct/>
              <w:topLinePunct w:val="0"/>
              <w:autoSpaceDE/>
              <w:autoSpaceDN/>
              <w:bidi w:val="0"/>
              <w:adjustRightInd/>
              <w:ind w:left="0" w:leftChars="0" w:firstLine="0" w:firstLineChars="0"/>
              <w:textAlignment w:val="auto"/>
              <w:rPr>
                <w:rFonts w:hint="eastAsia" w:ascii="宋体" w:hAnsi="宋体" w:cs="宋体"/>
                <w:kern w:val="2"/>
                <w:sz w:val="21"/>
                <w:szCs w:val="21"/>
                <w:lang w:val="en-US" w:eastAsia="zh-CN" w:bidi="ar-SA"/>
              </w:rPr>
            </w:pPr>
            <w:r>
              <w:rPr>
                <w:rFonts w:hint="eastAsia" w:ascii="宋体" w:hAnsi="宋体" w:cs="宋体" w:eastAsiaTheme="minorEastAsia"/>
                <w:kern w:val="2"/>
                <w:sz w:val="21"/>
                <w:szCs w:val="21"/>
                <w:lang w:val="en-US" w:eastAsia="zh-CN" w:bidi="ar-SA"/>
              </w:rPr>
              <w:t>在容器中状态GB/T 9755</w:t>
            </w:r>
            <w:r>
              <w:rPr>
                <w:rFonts w:hint="eastAsia" w:ascii="宋体" w:hAnsi="宋体" w:cs="宋体"/>
                <w:kern w:val="2"/>
                <w:sz w:val="21"/>
                <w:szCs w:val="21"/>
                <w:lang w:val="en-US" w:eastAsia="zh-CN" w:bidi="ar-SA"/>
              </w:rPr>
              <w:t>、</w:t>
            </w:r>
            <w:r>
              <w:rPr>
                <w:rFonts w:hint="eastAsia" w:ascii="宋体" w:hAnsi="宋体" w:cs="宋体" w:eastAsiaTheme="minorEastAsia"/>
                <w:kern w:val="2"/>
                <w:sz w:val="21"/>
                <w:szCs w:val="21"/>
                <w:lang w:val="en-US" w:eastAsia="zh-CN" w:bidi="ar-SA"/>
              </w:rPr>
              <w:t>GB/T 9756</w:t>
            </w:r>
            <w:r>
              <w:rPr>
                <w:rFonts w:hint="eastAsia" w:ascii="宋体" w:hAnsi="宋体" w:cs="宋体" w:eastAsiaTheme="minorEastAsia"/>
                <w:kern w:val="2"/>
                <w:sz w:val="21"/>
                <w:szCs w:val="21"/>
                <w:lang w:val="en-US" w:eastAsia="zh-CN" w:bidi="ar-SA"/>
              </w:rPr>
              <w:br w:type="textWrapping"/>
            </w:r>
            <w:r>
              <w:rPr>
                <w:rFonts w:hint="eastAsia" w:ascii="宋体" w:hAnsi="宋体" w:cs="宋体" w:eastAsiaTheme="minorEastAsia"/>
                <w:kern w:val="2"/>
                <w:sz w:val="21"/>
                <w:szCs w:val="21"/>
                <w:lang w:val="en-US" w:eastAsia="zh-CN" w:bidi="ar-SA"/>
              </w:rPr>
              <w:t>2.耐碱性</w:t>
            </w:r>
            <w:r>
              <w:rPr>
                <w:rFonts w:hint="eastAsia" w:ascii="宋体" w:hAnsi="宋体" w:cs="宋体"/>
                <w:kern w:val="2"/>
                <w:sz w:val="21"/>
                <w:szCs w:val="21"/>
                <w:lang w:val="en-US" w:eastAsia="zh-CN" w:bidi="ar-SA"/>
              </w:rPr>
              <w:t>GB/T 9265-2009</w:t>
            </w:r>
            <w:r>
              <w:rPr>
                <w:rFonts w:hint="eastAsia" w:ascii="宋体" w:hAnsi="宋体" w:cs="宋体" w:eastAsiaTheme="minorEastAsia"/>
                <w:kern w:val="2"/>
                <w:sz w:val="21"/>
                <w:szCs w:val="21"/>
                <w:lang w:val="en-US" w:eastAsia="zh-CN" w:bidi="ar-SA"/>
              </w:rPr>
              <w:br w:type="textWrapping"/>
            </w:r>
            <w:r>
              <w:rPr>
                <w:rFonts w:hint="eastAsia" w:ascii="宋体" w:hAnsi="宋体" w:cs="宋体"/>
                <w:kern w:val="2"/>
                <w:sz w:val="21"/>
                <w:szCs w:val="21"/>
                <w:lang w:val="en-US" w:eastAsia="zh-CN" w:bidi="ar-SA"/>
              </w:rPr>
              <w:t>3</w:t>
            </w:r>
            <w:r>
              <w:rPr>
                <w:rFonts w:hint="eastAsia" w:ascii="宋体" w:hAnsi="宋体" w:cs="宋体" w:eastAsiaTheme="minorEastAsia"/>
                <w:kern w:val="2"/>
                <w:sz w:val="21"/>
                <w:szCs w:val="21"/>
                <w:lang w:val="en-US" w:eastAsia="zh-CN" w:bidi="ar-SA"/>
              </w:rPr>
              <w:t>.耐洗刷性</w:t>
            </w:r>
            <w:r>
              <w:rPr>
                <w:rFonts w:hint="eastAsia" w:ascii="宋体" w:hAnsi="宋体" w:cs="宋体"/>
                <w:kern w:val="2"/>
                <w:sz w:val="21"/>
                <w:szCs w:val="21"/>
                <w:lang w:val="en-US" w:eastAsia="zh-CN" w:bidi="ar-SA"/>
              </w:rPr>
              <w:t>GB/T 9755-0214、GB/T 9266-2009</w:t>
            </w:r>
          </w:p>
          <w:p w14:paraId="16834E3A">
            <w:pPr>
              <w:pStyle w:val="2"/>
              <w:keepNext w:val="0"/>
              <w:keepLines w:val="0"/>
              <w:pageBreakBefore w:val="0"/>
              <w:widowControl w:val="0"/>
              <w:numPr>
                <w:ilvl w:val="0"/>
                <w:numId w:val="0"/>
              </w:numPr>
              <w:kinsoku/>
              <w:wordWrap/>
              <w:overflowPunct/>
              <w:topLinePunct w:val="0"/>
              <w:autoSpaceDE/>
              <w:autoSpaceDN/>
              <w:bidi w:val="0"/>
              <w:adjustRightInd/>
              <w:ind w:leftChars="0"/>
              <w:textAlignment w:val="auto"/>
              <w:rPr>
                <w:rFonts w:hint="default"/>
                <w:sz w:val="21"/>
                <w:szCs w:val="21"/>
                <w:lang w:val="en-US"/>
              </w:rPr>
            </w:pPr>
            <w:r>
              <w:rPr>
                <w:rFonts w:hint="eastAsia" w:ascii="宋体" w:hAnsi="宋体" w:cs="宋体"/>
                <w:kern w:val="2"/>
                <w:sz w:val="21"/>
                <w:szCs w:val="21"/>
                <w:lang w:val="en-US" w:eastAsia="zh-CN" w:bidi="ar-SA"/>
              </w:rPr>
              <w:t>4.耐水性GB/T 1733-1993、GB/T 30648.2-2015</w:t>
            </w:r>
            <w:r>
              <w:rPr>
                <w:rFonts w:hint="eastAsia" w:ascii="宋体" w:hAnsi="宋体" w:cs="宋体" w:eastAsiaTheme="minorEastAsia"/>
                <w:kern w:val="2"/>
                <w:sz w:val="21"/>
                <w:szCs w:val="21"/>
                <w:lang w:val="en-US" w:eastAsia="zh-CN" w:bidi="ar-SA"/>
              </w:rPr>
              <w:br w:type="textWrapping"/>
            </w:r>
            <w:r>
              <w:rPr>
                <w:rFonts w:hint="eastAsia" w:ascii="宋体" w:hAnsi="宋体" w:cs="宋体"/>
                <w:kern w:val="2"/>
                <w:sz w:val="21"/>
                <w:szCs w:val="21"/>
                <w:lang w:val="en-US" w:eastAsia="zh-CN" w:bidi="ar-SA"/>
              </w:rPr>
              <w:t>5</w:t>
            </w:r>
            <w:r>
              <w:rPr>
                <w:rFonts w:hint="eastAsia" w:ascii="宋体" w:hAnsi="宋体" w:cs="宋体" w:eastAsiaTheme="minorEastAsia"/>
                <w:kern w:val="2"/>
                <w:sz w:val="21"/>
                <w:szCs w:val="21"/>
                <w:lang w:val="en-US" w:eastAsia="zh-CN" w:bidi="ar-SA"/>
              </w:rPr>
              <w:t>.VOC含量</w:t>
            </w:r>
            <w:r>
              <w:rPr>
                <w:rFonts w:hint="eastAsia" w:ascii="宋体" w:hAnsi="宋体" w:cs="宋体"/>
                <w:kern w:val="2"/>
                <w:sz w:val="21"/>
                <w:szCs w:val="21"/>
                <w:lang w:val="en-US" w:eastAsia="zh-CN" w:bidi="ar-SA"/>
              </w:rPr>
              <w:t>GB18582-2020</w:t>
            </w:r>
          </w:p>
        </w:tc>
      </w:tr>
    </w:tbl>
    <w:p w14:paraId="0C4CD6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凡是注日期的文件，其随后所有的修改单（不包括勘误的内容）或修订版不适用。凡是不注日期的文件，其最新版适用。</w:t>
      </w:r>
    </w:p>
    <w:p w14:paraId="16F58E06">
      <w:pPr>
        <w:pStyle w:val="2"/>
        <w:rPr>
          <w:rFonts w:hint="eastAsia"/>
        </w:rPr>
      </w:pPr>
      <w:bookmarkStart w:id="0" w:name="_GoBack"/>
      <w:bookmarkEnd w:id="0"/>
    </w:p>
    <w:p w14:paraId="3F5189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3 判定规则</w:t>
      </w:r>
    </w:p>
    <w:p w14:paraId="668B1A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3.1依据标准</w:t>
      </w:r>
    </w:p>
    <w:p w14:paraId="74AB69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GB</w:t>
      </w:r>
      <w:r>
        <w:rPr>
          <w:rFonts w:hint="eastAsia" w:ascii="Times New Roman" w:hAnsi="Times New Roman" w:eastAsia="宋体"/>
          <w:sz w:val="21"/>
          <w:szCs w:val="21"/>
          <w:lang w:val="en-US" w:eastAsia="zh-CN"/>
        </w:rPr>
        <w:t>/T 9755-2024</w:t>
      </w:r>
      <w:r>
        <w:rPr>
          <w:rFonts w:hint="eastAsia" w:ascii="Times New Roman" w:hAnsi="Times New Roman" w:eastAsia="宋体"/>
          <w:sz w:val="21"/>
          <w:szCs w:val="21"/>
        </w:rPr>
        <w:t>《合成树脂乳液墙面涂料》</w:t>
      </w:r>
    </w:p>
    <w:p w14:paraId="5E1D6B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sz w:val="21"/>
          <w:szCs w:val="21"/>
          <w:lang w:val="en-US" w:eastAsia="zh-CN"/>
        </w:rPr>
      </w:pPr>
      <w:r>
        <w:rPr>
          <w:rFonts w:hint="eastAsia" w:ascii="Times New Roman" w:hAnsi="Times New Roman" w:eastAsia="宋体"/>
          <w:sz w:val="21"/>
          <w:szCs w:val="21"/>
        </w:rPr>
        <w:t>GB/T</w:t>
      </w:r>
      <w:r>
        <w:rPr>
          <w:rFonts w:hint="eastAsia" w:ascii="Times New Roman" w:hAnsi="Times New Roman" w:eastAsia="宋体"/>
          <w:sz w:val="21"/>
          <w:szCs w:val="21"/>
          <w:lang w:val="en-US" w:eastAsia="zh-CN"/>
        </w:rPr>
        <w:t xml:space="preserve"> 9755-2014</w:t>
      </w:r>
      <w:r>
        <w:rPr>
          <w:rFonts w:hint="eastAsia" w:ascii="Times New Roman" w:hAnsi="Times New Roman" w:eastAsia="宋体"/>
          <w:sz w:val="21"/>
          <w:szCs w:val="21"/>
        </w:rPr>
        <w:t>《合成树脂乳液</w:t>
      </w:r>
      <w:r>
        <w:rPr>
          <w:rFonts w:hint="eastAsia" w:ascii="Times New Roman" w:hAnsi="Times New Roman" w:eastAsia="宋体"/>
          <w:sz w:val="21"/>
          <w:szCs w:val="21"/>
          <w:lang w:val="en-US" w:eastAsia="zh-CN"/>
        </w:rPr>
        <w:t>外墙</w:t>
      </w:r>
      <w:r>
        <w:rPr>
          <w:rFonts w:hint="eastAsia" w:ascii="Times New Roman" w:hAnsi="Times New Roman" w:eastAsia="宋体"/>
          <w:sz w:val="21"/>
          <w:szCs w:val="21"/>
        </w:rPr>
        <w:t>涂料》</w:t>
      </w:r>
      <w:r>
        <w:rPr>
          <w:rFonts w:hint="eastAsia" w:ascii="Times New Roman" w:hAnsi="Times New Roman" w:eastAsia="宋体"/>
          <w:sz w:val="21"/>
          <w:szCs w:val="21"/>
          <w:lang w:eastAsia="zh-CN"/>
        </w:rPr>
        <w:t>（2025</w:t>
      </w:r>
      <w:r>
        <w:rPr>
          <w:rFonts w:hint="eastAsia" w:ascii="Times New Roman" w:hAnsi="Times New Roman" w:eastAsia="宋体"/>
          <w:sz w:val="21"/>
          <w:szCs w:val="21"/>
          <w:lang w:val="en-US" w:eastAsia="zh-CN"/>
        </w:rPr>
        <w:t>年</w:t>
      </w:r>
      <w:r>
        <w:rPr>
          <w:rFonts w:hint="eastAsia" w:ascii="Times New Roman" w:hAnsi="Times New Roman" w:eastAsia="宋体"/>
          <w:sz w:val="21"/>
          <w:szCs w:val="21"/>
          <w:lang w:eastAsia="zh-CN"/>
        </w:rPr>
        <w:t>06</w:t>
      </w:r>
      <w:r>
        <w:rPr>
          <w:rFonts w:hint="eastAsia" w:ascii="Times New Roman" w:hAnsi="Times New Roman" w:eastAsia="宋体"/>
          <w:sz w:val="21"/>
          <w:szCs w:val="21"/>
          <w:lang w:val="en-US" w:eastAsia="zh-CN"/>
        </w:rPr>
        <w:t>月</w:t>
      </w:r>
      <w:r>
        <w:rPr>
          <w:rFonts w:hint="eastAsia" w:ascii="Times New Roman" w:hAnsi="Times New Roman" w:eastAsia="宋体"/>
          <w:sz w:val="21"/>
          <w:szCs w:val="21"/>
          <w:lang w:eastAsia="zh-CN"/>
        </w:rPr>
        <w:t>01</w:t>
      </w:r>
      <w:r>
        <w:rPr>
          <w:rFonts w:hint="eastAsia" w:ascii="Times New Roman" w:hAnsi="Times New Roman" w:eastAsia="宋体"/>
          <w:sz w:val="21"/>
          <w:szCs w:val="21"/>
          <w:lang w:val="en-US" w:eastAsia="zh-CN"/>
        </w:rPr>
        <w:t>日作废）</w:t>
      </w:r>
    </w:p>
    <w:p w14:paraId="7D5AB5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GB/T</w:t>
      </w:r>
      <w:r>
        <w:rPr>
          <w:rFonts w:hint="eastAsia" w:ascii="Times New Roman" w:hAnsi="Times New Roman" w:eastAsia="宋体"/>
          <w:sz w:val="21"/>
          <w:szCs w:val="21"/>
          <w:lang w:val="en-US" w:eastAsia="zh-CN"/>
        </w:rPr>
        <w:t xml:space="preserve"> 9756-2018</w:t>
      </w:r>
      <w:r>
        <w:rPr>
          <w:rFonts w:hint="eastAsia" w:ascii="Times New Roman" w:hAnsi="Times New Roman" w:eastAsia="宋体"/>
          <w:sz w:val="21"/>
          <w:szCs w:val="21"/>
        </w:rPr>
        <w:t>《合成树脂乳液内墙涂料》</w:t>
      </w:r>
      <w:r>
        <w:rPr>
          <w:rFonts w:hint="eastAsia" w:ascii="Times New Roman" w:hAnsi="Times New Roman" w:eastAsia="宋体"/>
          <w:sz w:val="21"/>
          <w:szCs w:val="21"/>
          <w:lang w:eastAsia="zh-CN"/>
        </w:rPr>
        <w:t>（2025</w:t>
      </w:r>
      <w:r>
        <w:rPr>
          <w:rFonts w:hint="eastAsia" w:ascii="Times New Roman" w:hAnsi="Times New Roman" w:eastAsia="宋体"/>
          <w:sz w:val="21"/>
          <w:szCs w:val="21"/>
          <w:lang w:val="en-US" w:eastAsia="zh-CN"/>
        </w:rPr>
        <w:t>年</w:t>
      </w:r>
      <w:r>
        <w:rPr>
          <w:rFonts w:hint="eastAsia" w:ascii="Times New Roman" w:hAnsi="Times New Roman" w:eastAsia="宋体"/>
          <w:sz w:val="21"/>
          <w:szCs w:val="21"/>
          <w:lang w:eastAsia="zh-CN"/>
        </w:rPr>
        <w:t>06</w:t>
      </w:r>
      <w:r>
        <w:rPr>
          <w:rFonts w:hint="eastAsia" w:ascii="Times New Roman" w:hAnsi="Times New Roman" w:eastAsia="宋体"/>
          <w:sz w:val="21"/>
          <w:szCs w:val="21"/>
          <w:lang w:val="en-US" w:eastAsia="zh-CN"/>
        </w:rPr>
        <w:t>月</w:t>
      </w:r>
      <w:r>
        <w:rPr>
          <w:rFonts w:hint="eastAsia" w:ascii="Times New Roman" w:hAnsi="Times New Roman" w:eastAsia="宋体"/>
          <w:sz w:val="21"/>
          <w:szCs w:val="21"/>
          <w:lang w:eastAsia="zh-CN"/>
        </w:rPr>
        <w:t>01</w:t>
      </w:r>
      <w:r>
        <w:rPr>
          <w:rFonts w:hint="eastAsia" w:ascii="Times New Roman" w:hAnsi="Times New Roman" w:eastAsia="宋体"/>
          <w:sz w:val="21"/>
          <w:szCs w:val="21"/>
          <w:lang w:val="en-US" w:eastAsia="zh-CN"/>
        </w:rPr>
        <w:t>日作废）</w:t>
      </w:r>
    </w:p>
    <w:p w14:paraId="443529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GB/T 30648.2-2015《色漆和清漆 耐液体性的测定 第2部分：浸水法》</w:t>
      </w:r>
    </w:p>
    <w:p w14:paraId="46C356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2"/>
          <w:sz w:val="21"/>
          <w:szCs w:val="21"/>
          <w:lang w:val="en-US" w:eastAsia="zh-CN" w:bidi="ar-SA"/>
        </w:rPr>
      </w:pPr>
      <w:r>
        <w:rPr>
          <w:rFonts w:hint="eastAsia" w:ascii="Times New Roman" w:hAnsi="Times New Roman" w:eastAsia="宋体" w:cstheme="minorBidi"/>
          <w:kern w:val="2"/>
          <w:sz w:val="21"/>
          <w:szCs w:val="21"/>
          <w:lang w:val="en-US" w:eastAsia="zh-CN" w:bidi="ar-SA"/>
        </w:rPr>
        <w:t>GB/T 1733-1993</w:t>
      </w:r>
      <w:r>
        <w:rPr>
          <w:rFonts w:hint="eastAsia" w:ascii="宋体" w:hAnsi="宋体" w:cs="宋体"/>
          <w:kern w:val="2"/>
          <w:sz w:val="21"/>
          <w:szCs w:val="21"/>
          <w:lang w:val="en-US" w:eastAsia="zh-CN" w:bidi="ar-SA"/>
        </w:rPr>
        <w:t>《漆膜耐水性测定法》</w:t>
      </w:r>
    </w:p>
    <w:p w14:paraId="08EFFE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GB/T 9265-2009《建筑涂料 涂层耐碱性的测定》</w:t>
      </w:r>
    </w:p>
    <w:p w14:paraId="0ABD0C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GB 18582-2020《建筑用墙面涂料中有害物质限量》</w:t>
      </w:r>
    </w:p>
    <w:p w14:paraId="0C3BDF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3.2判定原则</w:t>
      </w:r>
    </w:p>
    <w:p w14:paraId="2554F5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经检验，检验项目全部合格，判定为被抽查产品所检项目未发现不合格；检验项目中任一项或一项以上不合格，判定为被抽查产品不合格。</w:t>
      </w:r>
    </w:p>
    <w:p w14:paraId="7E081C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若被检产品明示的质量要求高于本细则中检验项目依据的标准要求时，应按被检产品明示的质量要求判定。</w:t>
      </w:r>
    </w:p>
    <w:p w14:paraId="385739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若被检产品明示的质量要求低于本细则中检验项目依据的强制性标准要求时，应按照强制性标准要求判定。</w:t>
      </w:r>
    </w:p>
    <w:p w14:paraId="595969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若被检产品明示的质量要求低于或包含本细则中检验项目依据的推荐性标准要求时，应以被检产品明示的质量要求判定。</w:t>
      </w:r>
    </w:p>
    <w:p w14:paraId="2753A8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若被检产品明示的质量要求缺少本细则中检验项目依据的强制性标准要求时，应按照强制性标准要求判定。</w:t>
      </w:r>
    </w:p>
    <w:p w14:paraId="546E7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若被检产品明示的质量要求缺少本细则中检验项目依据的推荐性标准要求时，该项目不参与判定。</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C8787"/>
    <w:multiLevelType w:val="singleLevel"/>
    <w:tmpl w:val="B4AC8787"/>
    <w:lvl w:ilvl="0" w:tentative="0">
      <w:start w:val="1"/>
      <w:numFmt w:val="decimal"/>
      <w:suff w:val="nothing"/>
      <w:lvlText w:val="%1"/>
      <w:lvlJc w:val="left"/>
      <w:pPr>
        <w:ind w:left="0" w:firstLine="0"/>
      </w:pPr>
      <w:rPr>
        <w:rFonts w:hint="default"/>
      </w:rPr>
    </w:lvl>
  </w:abstractNum>
  <w:abstractNum w:abstractNumId="1">
    <w:nsid w:val="22CB48C0"/>
    <w:multiLevelType w:val="singleLevel"/>
    <w:tmpl w:val="22CB48C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32499"/>
    <w:rsid w:val="0A261F09"/>
    <w:rsid w:val="0C994C14"/>
    <w:rsid w:val="10142F30"/>
    <w:rsid w:val="12AA1929"/>
    <w:rsid w:val="17D80CE7"/>
    <w:rsid w:val="17E4768B"/>
    <w:rsid w:val="1EA731C1"/>
    <w:rsid w:val="27D97F6F"/>
    <w:rsid w:val="2C3342E6"/>
    <w:rsid w:val="2E556795"/>
    <w:rsid w:val="315C0D08"/>
    <w:rsid w:val="32961EB8"/>
    <w:rsid w:val="34FA62E8"/>
    <w:rsid w:val="35F745D6"/>
    <w:rsid w:val="36064819"/>
    <w:rsid w:val="36456B8A"/>
    <w:rsid w:val="3D615EC3"/>
    <w:rsid w:val="43532499"/>
    <w:rsid w:val="4AC00FE3"/>
    <w:rsid w:val="51B51175"/>
    <w:rsid w:val="530E3233"/>
    <w:rsid w:val="562468CA"/>
    <w:rsid w:val="578F06BB"/>
    <w:rsid w:val="59590F80"/>
    <w:rsid w:val="59A57D21"/>
    <w:rsid w:val="62373E29"/>
    <w:rsid w:val="62514EEA"/>
    <w:rsid w:val="68907DEF"/>
    <w:rsid w:val="6E9D7442"/>
    <w:rsid w:val="730C2768"/>
    <w:rsid w:val="764316E6"/>
    <w:rsid w:val="7B6273C9"/>
    <w:rsid w:val="7C4F3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736</Words>
  <Characters>956</Characters>
  <Lines>0</Lines>
  <Paragraphs>0</Paragraphs>
  <TotalTime>0</TotalTime>
  <ScaleCrop>false</ScaleCrop>
  <LinksUpToDate>false</LinksUpToDate>
  <CharactersWithSpaces>982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2025-07-21T01:49:00Z</dcterms:created>
  <dc:creator>赢在行动</dc:creator>
  <cp:lastModifiedBy>魏导</cp:lastModifiedBy>
  <dcterms:modified xsi:type="dcterms:W3CDTF">2025-08-28T08:48:26Z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5BEE4DD032AD46E981AEBE8AE7424A8F_13</vt:lpwstr>
  </property>
  <property fmtid="{D5CDD505-2E9C-101B-9397-08002B2CF9AE}" pid="4" name="KSOTemplateDocerSaveRecord">
    <vt:lpwstr>eyJoZGlkIjoiMzljZTI1ZjRhNzE5MDQ1NjNlNDRhNDJmNzk1ODU2MmIiLCJ1c2VySWQiOiIxNjgzMjY5OTAifQ==</vt:lpwstr>
  </property>
</Properties>
</file>