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5A326">
      <w:pPr>
        <w:snapToGrid w:val="0"/>
        <w:spacing w:line="440" w:lineRule="exact"/>
        <w:jc w:val="center"/>
        <w:rPr>
          <w:rFonts w:hint="eastAsia" w:ascii="方正小标宋简体" w:hAnsi="方正小标宋简体" w:eastAsia="方正小标宋简体" w:cs="方正小标宋简体"/>
          <w:color w:val="000000"/>
          <w:sz w:val="32"/>
          <w:szCs w:val="32"/>
        </w:rPr>
      </w:pPr>
      <w:bookmarkStart w:id="0" w:name="_GoBack"/>
      <w:bookmarkEnd w:id="0"/>
      <w:r>
        <w:rPr>
          <w:rFonts w:hint="eastAsia" w:ascii="方正小标宋简体" w:hAnsi="方正小标宋简体" w:eastAsia="方正小标宋简体" w:cs="方正小标宋简体"/>
          <w:color w:val="000000"/>
          <w:sz w:val="32"/>
          <w:szCs w:val="32"/>
        </w:rPr>
        <w:t>唐山市手提式灭火器产品质量监督抽查实施细则（2025年版）</w:t>
      </w:r>
    </w:p>
    <w:p w14:paraId="0B747764">
      <w:pPr>
        <w:snapToGrid w:val="0"/>
        <w:spacing w:line="440" w:lineRule="exact"/>
        <w:jc w:val="center"/>
        <w:rPr>
          <w:rFonts w:hint="eastAsia" w:ascii="方正小标宋简体" w:hAnsi="方正小标宋简体" w:eastAsia="方正小标宋简体" w:cs="方正小标宋简体"/>
          <w:color w:val="000000"/>
          <w:sz w:val="32"/>
          <w:szCs w:val="32"/>
        </w:rPr>
      </w:pPr>
    </w:p>
    <w:p w14:paraId="44FA9D98">
      <w:pPr>
        <w:keepNext w:val="0"/>
        <w:keepLines w:val="0"/>
        <w:pageBreakBefore w:val="0"/>
        <w:kinsoku/>
        <w:wordWrap/>
        <w:overflowPunct/>
        <w:topLinePunct w:val="0"/>
        <w:autoSpaceDE/>
        <w:autoSpaceDN/>
        <w:bidi w:val="0"/>
        <w:spacing w:line="440" w:lineRule="exact"/>
        <w:jc w:val="left"/>
        <w:textAlignment w:val="auto"/>
        <w:rPr>
          <w:rFonts w:hint="eastAsia" w:ascii="黑体" w:hAnsi="黑体" w:eastAsia="黑体" w:cs="黑体"/>
          <w:bCs/>
          <w:szCs w:val="21"/>
          <w:lang w:val="en-GB"/>
        </w:rPr>
      </w:pPr>
      <w:r>
        <w:rPr>
          <w:rFonts w:hint="eastAsia" w:ascii="黑体" w:hAnsi="黑体" w:eastAsia="黑体" w:cs="黑体"/>
          <w:bCs/>
          <w:szCs w:val="21"/>
          <w:lang w:val="en-GB"/>
        </w:rPr>
        <w:t>1 抽样方法</w:t>
      </w:r>
    </w:p>
    <w:p w14:paraId="0F61F836">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ascii="Times New Roman" w:hAnsi="Times New Roman"/>
          <w:color w:val="000000"/>
          <w:szCs w:val="21"/>
        </w:rPr>
        <w:t>以随机抽样的方式在</w:t>
      </w:r>
      <w:r>
        <w:rPr>
          <w:rFonts w:hint="eastAsia" w:ascii="Times New Roman" w:hAnsi="Times New Roman" w:cs="宋体"/>
          <w:color w:val="000000"/>
          <w:szCs w:val="21"/>
        </w:rPr>
        <w:t>被抽样生产者、销售者的待销产品中抽取。</w:t>
      </w:r>
    </w:p>
    <w:p w14:paraId="3BC552B9">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每批次产品抽取样品6具，其中3具为检验样品，3具为备用样品。</w:t>
      </w:r>
    </w:p>
    <w:p w14:paraId="53A85D32">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p>
    <w:p w14:paraId="35E4A23B">
      <w:pPr>
        <w:keepNext w:val="0"/>
        <w:keepLines w:val="0"/>
        <w:pageBreakBefore w:val="0"/>
        <w:kinsoku/>
        <w:wordWrap/>
        <w:overflowPunct/>
        <w:topLinePunct w:val="0"/>
        <w:autoSpaceDE/>
        <w:autoSpaceDN/>
        <w:bidi w:val="0"/>
        <w:spacing w:line="440" w:lineRule="exact"/>
        <w:jc w:val="left"/>
        <w:textAlignment w:val="auto"/>
        <w:rPr>
          <w:rFonts w:hint="eastAsia" w:ascii="黑体" w:hAnsi="黑体" w:eastAsia="黑体" w:cs="黑体"/>
          <w:bCs/>
          <w:szCs w:val="21"/>
          <w:lang w:val="en-GB"/>
        </w:rPr>
      </w:pPr>
      <w:r>
        <w:rPr>
          <w:rFonts w:hint="eastAsia" w:ascii="黑体" w:hAnsi="黑体" w:eastAsia="黑体" w:cs="黑体"/>
          <w:bCs/>
          <w:szCs w:val="21"/>
          <w:lang w:val="en-GB"/>
        </w:rPr>
        <w:t>2</w:t>
      </w:r>
      <w:r>
        <w:rPr>
          <w:rFonts w:hint="eastAsia" w:ascii="黑体" w:hAnsi="黑体" w:eastAsia="黑体" w:cs="黑体"/>
          <w:bCs/>
          <w:szCs w:val="21"/>
          <w:lang w:val="en-US" w:eastAsia="zh-CN"/>
        </w:rPr>
        <w:t xml:space="preserve"> </w:t>
      </w:r>
      <w:r>
        <w:rPr>
          <w:rFonts w:hint="eastAsia" w:ascii="黑体" w:hAnsi="黑体" w:eastAsia="黑体" w:cs="黑体"/>
          <w:bCs/>
          <w:szCs w:val="21"/>
          <w:lang w:val="en-GB"/>
        </w:rPr>
        <w:t>抽查产品名称及执行标准</w:t>
      </w:r>
    </w:p>
    <w:p w14:paraId="3493E153">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cs="仿宋"/>
          <w:szCs w:val="21"/>
          <w:lang w:val="en-GB"/>
        </w:rPr>
      </w:pPr>
      <w:r>
        <w:rPr>
          <w:rFonts w:hint="eastAsia" w:ascii="Times New Roman" w:hAnsi="Times New Roman" w:cs="仿宋"/>
          <w:szCs w:val="21"/>
          <w:lang w:val="en-GB"/>
        </w:rPr>
        <w:t>本次抽查的产品名称主要为：手提式灭火器，产品执行标准见下表。</w:t>
      </w:r>
    </w:p>
    <w:p w14:paraId="75C4430C">
      <w:pPr>
        <w:keepNext w:val="0"/>
        <w:keepLines w:val="0"/>
        <w:pageBreakBefore w:val="0"/>
        <w:kinsoku/>
        <w:wordWrap/>
        <w:overflowPunct/>
        <w:topLinePunct w:val="0"/>
        <w:autoSpaceDE/>
        <w:autoSpaceDN/>
        <w:bidi w:val="0"/>
        <w:adjustRightInd w:val="0"/>
        <w:snapToGrid w:val="0"/>
        <w:spacing w:line="440" w:lineRule="exact"/>
        <w:ind w:firstLine="420" w:firstLineChars="200"/>
        <w:jc w:val="center"/>
        <w:textAlignment w:val="auto"/>
        <w:rPr>
          <w:rFonts w:hint="eastAsia" w:ascii="Times New Roman" w:hAnsi="Times New Roman"/>
          <w:color w:val="000000"/>
          <w:szCs w:val="21"/>
        </w:rPr>
      </w:pPr>
      <w:r>
        <w:rPr>
          <w:rFonts w:hint="eastAsia" w:ascii="Times New Roman" w:hAnsi="Times New Roman"/>
          <w:color w:val="000000"/>
          <w:szCs w:val="21"/>
        </w:rPr>
        <w:t>表1 产品名称及执行标准</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907"/>
        <w:gridCol w:w="3223"/>
        <w:gridCol w:w="3245"/>
      </w:tblGrid>
      <w:tr w14:paraId="25193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434" w:type="pct"/>
            <w:noWrap w:val="0"/>
            <w:vAlign w:val="center"/>
          </w:tcPr>
          <w:p w14:paraId="4C7831E7">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序号</w:t>
            </w:r>
          </w:p>
        </w:tc>
        <w:tc>
          <w:tcPr>
            <w:tcW w:w="1039" w:type="pct"/>
            <w:noWrap w:val="0"/>
            <w:vAlign w:val="center"/>
          </w:tcPr>
          <w:p w14:paraId="3E92DB0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产品名称</w:t>
            </w:r>
          </w:p>
        </w:tc>
        <w:tc>
          <w:tcPr>
            <w:tcW w:w="1756" w:type="pct"/>
            <w:noWrap w:val="0"/>
            <w:vAlign w:val="center"/>
          </w:tcPr>
          <w:p w14:paraId="0842179F">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标准编号</w:t>
            </w:r>
          </w:p>
        </w:tc>
        <w:tc>
          <w:tcPr>
            <w:tcW w:w="1768" w:type="pct"/>
            <w:noWrap w:val="0"/>
            <w:vAlign w:val="center"/>
          </w:tcPr>
          <w:p w14:paraId="6FB5108A">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标准名称</w:t>
            </w:r>
          </w:p>
        </w:tc>
      </w:tr>
      <w:tr w14:paraId="7794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4" w:type="pct"/>
            <w:vMerge w:val="restart"/>
            <w:noWrap w:val="0"/>
            <w:vAlign w:val="center"/>
          </w:tcPr>
          <w:p w14:paraId="47B4AC6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1</w:t>
            </w:r>
          </w:p>
        </w:tc>
        <w:tc>
          <w:tcPr>
            <w:tcW w:w="1039" w:type="pct"/>
            <w:vMerge w:val="restart"/>
            <w:noWrap w:val="0"/>
            <w:vAlign w:val="center"/>
          </w:tcPr>
          <w:p w14:paraId="7EFA550A">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手提式灭火器</w:t>
            </w:r>
          </w:p>
        </w:tc>
        <w:tc>
          <w:tcPr>
            <w:tcW w:w="1756" w:type="pct"/>
            <w:noWrap w:val="0"/>
            <w:vAlign w:val="center"/>
          </w:tcPr>
          <w:p w14:paraId="703BC34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GB 4351-2023</w:t>
            </w:r>
          </w:p>
        </w:tc>
        <w:tc>
          <w:tcPr>
            <w:tcW w:w="1768" w:type="pct"/>
            <w:noWrap w:val="0"/>
            <w:vAlign w:val="center"/>
          </w:tcPr>
          <w:p w14:paraId="403B784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手提式灭火器</w:t>
            </w:r>
          </w:p>
        </w:tc>
      </w:tr>
      <w:tr w14:paraId="3E78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4" w:type="pct"/>
            <w:vMerge w:val="continue"/>
            <w:noWrap w:val="0"/>
            <w:vAlign w:val="center"/>
          </w:tcPr>
          <w:p w14:paraId="58493745">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p>
        </w:tc>
        <w:tc>
          <w:tcPr>
            <w:tcW w:w="1039" w:type="pct"/>
            <w:vMerge w:val="continue"/>
            <w:noWrap w:val="0"/>
            <w:vAlign w:val="center"/>
          </w:tcPr>
          <w:p w14:paraId="3F26BF2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p>
        </w:tc>
        <w:tc>
          <w:tcPr>
            <w:tcW w:w="1756" w:type="pct"/>
            <w:noWrap w:val="0"/>
            <w:vAlign w:val="center"/>
          </w:tcPr>
          <w:p w14:paraId="0C8CBDA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 xml:space="preserve">GB 4066—2017 </w:t>
            </w:r>
          </w:p>
        </w:tc>
        <w:tc>
          <w:tcPr>
            <w:tcW w:w="1768" w:type="pct"/>
            <w:noWrap w:val="0"/>
            <w:vAlign w:val="center"/>
          </w:tcPr>
          <w:p w14:paraId="026FD3B5">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干粉灭火剂</w:t>
            </w:r>
          </w:p>
        </w:tc>
      </w:tr>
    </w:tbl>
    <w:p w14:paraId="4C6E7EE8">
      <w:pPr>
        <w:keepNext w:val="0"/>
        <w:keepLines w:val="0"/>
        <w:pageBreakBefore w:val="0"/>
        <w:kinsoku/>
        <w:wordWrap/>
        <w:overflowPunct/>
        <w:topLinePunct w:val="0"/>
        <w:autoSpaceDE/>
        <w:autoSpaceDN/>
        <w:bidi w:val="0"/>
        <w:spacing w:line="440" w:lineRule="exact"/>
        <w:jc w:val="left"/>
        <w:textAlignment w:val="auto"/>
        <w:rPr>
          <w:rFonts w:hint="eastAsia" w:ascii="Times New Roman" w:hAnsi="Times New Roman" w:eastAsia="黑体" w:cs="仿宋"/>
          <w:bCs/>
          <w:szCs w:val="21"/>
        </w:rPr>
      </w:pPr>
    </w:p>
    <w:p w14:paraId="65A19FF2">
      <w:pPr>
        <w:keepNext w:val="0"/>
        <w:keepLines w:val="0"/>
        <w:pageBreakBefore w:val="0"/>
        <w:kinsoku/>
        <w:wordWrap/>
        <w:overflowPunct/>
        <w:topLinePunct w:val="0"/>
        <w:autoSpaceDE/>
        <w:autoSpaceDN/>
        <w:bidi w:val="0"/>
        <w:spacing w:line="440" w:lineRule="exact"/>
        <w:jc w:val="left"/>
        <w:textAlignment w:val="auto"/>
        <w:rPr>
          <w:rFonts w:hint="eastAsia" w:ascii="黑体" w:hAnsi="黑体" w:eastAsia="黑体" w:cs="黑体"/>
          <w:bCs/>
          <w:szCs w:val="21"/>
          <w:lang w:val="en-GB"/>
        </w:rPr>
      </w:pPr>
      <w:r>
        <w:rPr>
          <w:rFonts w:hint="eastAsia" w:ascii="黑体" w:hAnsi="黑体" w:eastAsia="黑体" w:cs="黑体"/>
          <w:bCs/>
          <w:szCs w:val="21"/>
        </w:rPr>
        <w:t>3</w:t>
      </w:r>
      <w:r>
        <w:rPr>
          <w:rFonts w:hint="eastAsia" w:ascii="黑体" w:hAnsi="黑体" w:eastAsia="黑体" w:cs="黑体"/>
          <w:bCs/>
          <w:szCs w:val="21"/>
          <w:lang w:val="en-GB"/>
        </w:rPr>
        <w:t xml:space="preserve"> 检验依据</w:t>
      </w:r>
    </w:p>
    <w:p w14:paraId="40EFBE95">
      <w:pPr>
        <w:keepNext w:val="0"/>
        <w:keepLines w:val="0"/>
        <w:pageBreakBefore w:val="0"/>
        <w:kinsoku/>
        <w:wordWrap/>
        <w:overflowPunct/>
        <w:topLinePunct w:val="0"/>
        <w:autoSpaceDE/>
        <w:autoSpaceDN/>
        <w:bidi w:val="0"/>
        <w:spacing w:line="440" w:lineRule="exact"/>
        <w:ind w:firstLine="420" w:firstLineChars="200"/>
        <w:jc w:val="center"/>
        <w:textAlignment w:val="auto"/>
        <w:rPr>
          <w:rFonts w:hint="eastAsia" w:ascii="Times New Roman" w:hAnsi="Times New Roman" w:cs="仿宋"/>
          <w:szCs w:val="21"/>
          <w:lang w:val="en-GB"/>
        </w:rPr>
      </w:pPr>
      <w:r>
        <w:rPr>
          <w:rFonts w:hint="eastAsia" w:ascii="Times New Roman" w:hAnsi="Times New Roman" w:cs="仿宋"/>
          <w:szCs w:val="21"/>
          <w:lang w:val="en-GB"/>
        </w:rPr>
        <w:t>表</w:t>
      </w:r>
      <w:r>
        <w:rPr>
          <w:rFonts w:hint="eastAsia" w:ascii="Times New Roman" w:hAnsi="Times New Roman" w:cs="仿宋"/>
          <w:szCs w:val="21"/>
        </w:rPr>
        <w:t>2</w:t>
      </w:r>
      <w:r>
        <w:rPr>
          <w:rFonts w:hint="eastAsia" w:ascii="Times New Roman" w:hAnsi="Times New Roman" w:cs="仿宋"/>
          <w:szCs w:val="21"/>
          <w:lang w:val="en-GB"/>
        </w:rPr>
        <w:t>检验项目及依据</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
        <w:gridCol w:w="1997"/>
        <w:gridCol w:w="2436"/>
        <w:gridCol w:w="2067"/>
        <w:gridCol w:w="998"/>
        <w:gridCol w:w="1179"/>
      </w:tblGrid>
      <w:tr w14:paraId="31903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noWrap w:val="0"/>
            <w:vAlign w:val="center"/>
          </w:tcPr>
          <w:p w14:paraId="4601059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序号</w:t>
            </w:r>
          </w:p>
        </w:tc>
        <w:tc>
          <w:tcPr>
            <w:tcW w:w="2417" w:type="pct"/>
            <w:gridSpan w:val="2"/>
            <w:noWrap w:val="0"/>
            <w:vAlign w:val="center"/>
          </w:tcPr>
          <w:p w14:paraId="07A6A52D">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检验项目</w:t>
            </w:r>
          </w:p>
        </w:tc>
        <w:tc>
          <w:tcPr>
            <w:tcW w:w="1127" w:type="pct"/>
            <w:noWrap w:val="0"/>
            <w:vAlign w:val="center"/>
          </w:tcPr>
          <w:p w14:paraId="0FA8002A">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检验方法</w:t>
            </w:r>
          </w:p>
        </w:tc>
        <w:tc>
          <w:tcPr>
            <w:tcW w:w="544" w:type="pct"/>
            <w:noWrap w:val="0"/>
            <w:vAlign w:val="center"/>
          </w:tcPr>
          <w:p w14:paraId="326E3572">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kern w:val="0"/>
                <w:szCs w:val="21"/>
              </w:rPr>
              <w:t>重要程度分级</w:t>
            </w:r>
          </w:p>
        </w:tc>
        <w:tc>
          <w:tcPr>
            <w:tcW w:w="643" w:type="pct"/>
            <w:noWrap w:val="0"/>
            <w:vAlign w:val="center"/>
          </w:tcPr>
          <w:p w14:paraId="5DF00DEC">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kern w:val="0"/>
                <w:szCs w:val="21"/>
              </w:rPr>
              <w:t>是否为环保指标</w:t>
            </w:r>
          </w:p>
        </w:tc>
      </w:tr>
      <w:tr w14:paraId="02DE9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vMerge w:val="restart"/>
            <w:noWrap w:val="0"/>
            <w:vAlign w:val="center"/>
          </w:tcPr>
          <w:p w14:paraId="19458A17">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1</w:t>
            </w:r>
          </w:p>
        </w:tc>
        <w:tc>
          <w:tcPr>
            <w:tcW w:w="1089" w:type="pct"/>
            <w:vMerge w:val="restart"/>
            <w:noWrap w:val="0"/>
            <w:vAlign w:val="center"/>
          </w:tcPr>
          <w:p w14:paraId="4258805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Helvetica"/>
                <w:color w:val="000000"/>
                <w:szCs w:val="21"/>
              </w:rPr>
              <w:t>20</w:t>
            </w:r>
            <w:r>
              <w:rPr>
                <w:rFonts w:hint="eastAsia" w:ascii="Times New Roman" w:hAnsi="Times New Roman" w:cs="宋体"/>
                <w:color w:val="000000"/>
                <w:szCs w:val="21"/>
              </w:rPr>
              <w:t>℃</w:t>
            </w:r>
            <w:r>
              <w:rPr>
                <w:rFonts w:ascii="Times New Roman" w:hAnsi="Times New Roman" w:cs="Helvetica"/>
                <w:color w:val="000000"/>
                <w:szCs w:val="21"/>
              </w:rPr>
              <w:t>时喷射性能</w:t>
            </w:r>
          </w:p>
        </w:tc>
        <w:tc>
          <w:tcPr>
            <w:tcW w:w="1327" w:type="pct"/>
            <w:noWrap w:val="0"/>
            <w:vAlign w:val="center"/>
          </w:tcPr>
          <w:p w14:paraId="233F7F6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olor w:val="000000"/>
                <w:szCs w:val="21"/>
              </w:rPr>
              <w:t xml:space="preserve">有效喷射时间 </w:t>
            </w:r>
          </w:p>
        </w:tc>
        <w:tc>
          <w:tcPr>
            <w:tcW w:w="1127" w:type="pct"/>
            <w:vMerge w:val="restart"/>
            <w:noWrap w:val="0"/>
            <w:vAlign w:val="center"/>
          </w:tcPr>
          <w:p w14:paraId="350A4D5B">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color w:val="000000"/>
                <w:szCs w:val="21"/>
              </w:rPr>
            </w:pPr>
            <w:r>
              <w:rPr>
                <w:rFonts w:hint="eastAsia" w:ascii="Times New Roman" w:hAnsi="Times New Roman" w:cs="宋体"/>
                <w:color w:val="000000"/>
                <w:szCs w:val="21"/>
              </w:rPr>
              <w:t>GB 4351—2023</w:t>
            </w:r>
          </w:p>
        </w:tc>
        <w:tc>
          <w:tcPr>
            <w:tcW w:w="544" w:type="pct"/>
            <w:noWrap w:val="0"/>
            <w:vAlign w:val="center"/>
          </w:tcPr>
          <w:p w14:paraId="492C21AD">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szCs w:val="21"/>
              </w:rPr>
              <w:t>B</w:t>
            </w:r>
          </w:p>
        </w:tc>
        <w:tc>
          <w:tcPr>
            <w:tcW w:w="643" w:type="pct"/>
            <w:noWrap w:val="0"/>
            <w:vAlign w:val="center"/>
          </w:tcPr>
          <w:p w14:paraId="2EE7361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61AF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vMerge w:val="continue"/>
            <w:noWrap w:val="0"/>
            <w:vAlign w:val="center"/>
          </w:tcPr>
          <w:p w14:paraId="7F24257C">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1089" w:type="pct"/>
            <w:vMerge w:val="continue"/>
            <w:noWrap w:val="0"/>
            <w:vAlign w:val="center"/>
          </w:tcPr>
          <w:p w14:paraId="1107C82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1327" w:type="pct"/>
            <w:noWrap w:val="0"/>
            <w:vAlign w:val="center"/>
          </w:tcPr>
          <w:p w14:paraId="70018F5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olor w:val="000000"/>
                <w:szCs w:val="21"/>
              </w:rPr>
              <w:t>喷射距离</w:t>
            </w:r>
          </w:p>
        </w:tc>
        <w:tc>
          <w:tcPr>
            <w:tcW w:w="1127" w:type="pct"/>
            <w:vMerge w:val="continue"/>
            <w:noWrap w:val="0"/>
            <w:vAlign w:val="center"/>
          </w:tcPr>
          <w:p w14:paraId="6DE1100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544" w:type="pct"/>
            <w:noWrap w:val="0"/>
            <w:vAlign w:val="center"/>
          </w:tcPr>
          <w:p w14:paraId="3EBEDDA5">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szCs w:val="21"/>
              </w:rPr>
              <w:t>B</w:t>
            </w:r>
          </w:p>
        </w:tc>
        <w:tc>
          <w:tcPr>
            <w:tcW w:w="643" w:type="pct"/>
            <w:noWrap w:val="0"/>
            <w:vAlign w:val="center"/>
          </w:tcPr>
          <w:p w14:paraId="7336D43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60A95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vMerge w:val="continue"/>
            <w:noWrap w:val="0"/>
            <w:vAlign w:val="center"/>
          </w:tcPr>
          <w:p w14:paraId="5E608A6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1089" w:type="pct"/>
            <w:vMerge w:val="continue"/>
            <w:noWrap w:val="0"/>
            <w:vAlign w:val="center"/>
          </w:tcPr>
          <w:p w14:paraId="5EBFAFD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1327" w:type="pct"/>
            <w:noWrap w:val="0"/>
            <w:vAlign w:val="center"/>
          </w:tcPr>
          <w:p w14:paraId="3E2D11BC">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olor w:val="000000"/>
                <w:szCs w:val="21"/>
              </w:rPr>
              <w:t>喷射滞后时间</w:t>
            </w:r>
          </w:p>
        </w:tc>
        <w:tc>
          <w:tcPr>
            <w:tcW w:w="1127" w:type="pct"/>
            <w:vMerge w:val="continue"/>
            <w:noWrap w:val="0"/>
            <w:vAlign w:val="center"/>
          </w:tcPr>
          <w:p w14:paraId="2E149A8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544" w:type="pct"/>
            <w:noWrap w:val="0"/>
            <w:vAlign w:val="center"/>
          </w:tcPr>
          <w:p w14:paraId="0B3E300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szCs w:val="21"/>
              </w:rPr>
              <w:t>B</w:t>
            </w:r>
          </w:p>
        </w:tc>
        <w:tc>
          <w:tcPr>
            <w:tcW w:w="643" w:type="pct"/>
            <w:noWrap w:val="0"/>
            <w:vAlign w:val="center"/>
          </w:tcPr>
          <w:p w14:paraId="46A9C9DF">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5E050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vMerge w:val="continue"/>
            <w:noWrap w:val="0"/>
            <w:vAlign w:val="center"/>
          </w:tcPr>
          <w:p w14:paraId="6C1234D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1089" w:type="pct"/>
            <w:vMerge w:val="continue"/>
            <w:noWrap w:val="0"/>
            <w:vAlign w:val="center"/>
          </w:tcPr>
          <w:p w14:paraId="20099D9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1327" w:type="pct"/>
            <w:noWrap w:val="0"/>
            <w:vAlign w:val="center"/>
          </w:tcPr>
          <w:p w14:paraId="285F16E0">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olor w:val="000000"/>
                <w:szCs w:val="21"/>
              </w:rPr>
              <w:t>喷射剩余率</w:t>
            </w:r>
          </w:p>
        </w:tc>
        <w:tc>
          <w:tcPr>
            <w:tcW w:w="1127" w:type="pct"/>
            <w:vMerge w:val="continue"/>
            <w:noWrap w:val="0"/>
            <w:vAlign w:val="center"/>
          </w:tcPr>
          <w:p w14:paraId="5D1DF32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p>
        </w:tc>
        <w:tc>
          <w:tcPr>
            <w:tcW w:w="544" w:type="pct"/>
            <w:noWrap w:val="0"/>
            <w:vAlign w:val="center"/>
          </w:tcPr>
          <w:p w14:paraId="52F740D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szCs w:val="21"/>
              </w:rPr>
              <w:t>B</w:t>
            </w:r>
          </w:p>
        </w:tc>
        <w:tc>
          <w:tcPr>
            <w:tcW w:w="643" w:type="pct"/>
            <w:noWrap w:val="0"/>
            <w:vAlign w:val="center"/>
          </w:tcPr>
          <w:p w14:paraId="658DB720">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47D9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noWrap w:val="0"/>
            <w:vAlign w:val="center"/>
          </w:tcPr>
          <w:p w14:paraId="21D6B65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2</w:t>
            </w:r>
          </w:p>
        </w:tc>
        <w:tc>
          <w:tcPr>
            <w:tcW w:w="2417" w:type="pct"/>
            <w:gridSpan w:val="2"/>
            <w:noWrap w:val="0"/>
            <w:vAlign w:val="center"/>
          </w:tcPr>
          <w:p w14:paraId="63B7BA4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Helvetica"/>
                <w:color w:val="000000"/>
                <w:szCs w:val="21"/>
              </w:rPr>
              <w:t>充装要求</w:t>
            </w:r>
          </w:p>
        </w:tc>
        <w:tc>
          <w:tcPr>
            <w:tcW w:w="1127" w:type="pct"/>
            <w:noWrap w:val="0"/>
            <w:vAlign w:val="center"/>
          </w:tcPr>
          <w:p w14:paraId="22F23269">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4351—2023</w:t>
            </w:r>
          </w:p>
        </w:tc>
        <w:tc>
          <w:tcPr>
            <w:tcW w:w="544" w:type="pct"/>
            <w:noWrap w:val="0"/>
            <w:vAlign w:val="center"/>
          </w:tcPr>
          <w:p w14:paraId="5450962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43" w:type="pct"/>
            <w:noWrap w:val="0"/>
            <w:vAlign w:val="center"/>
          </w:tcPr>
          <w:p w14:paraId="3620ACC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4F32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noWrap w:val="0"/>
            <w:vAlign w:val="center"/>
          </w:tcPr>
          <w:p w14:paraId="237A003A">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3</w:t>
            </w:r>
          </w:p>
        </w:tc>
        <w:tc>
          <w:tcPr>
            <w:tcW w:w="2417" w:type="pct"/>
            <w:gridSpan w:val="2"/>
            <w:noWrap w:val="0"/>
            <w:vAlign w:val="center"/>
          </w:tcPr>
          <w:p w14:paraId="5B673A39">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olor w:val="000000"/>
                <w:szCs w:val="21"/>
              </w:rPr>
              <w:t>水压试验</w:t>
            </w:r>
          </w:p>
        </w:tc>
        <w:tc>
          <w:tcPr>
            <w:tcW w:w="1127" w:type="pct"/>
            <w:noWrap w:val="0"/>
            <w:vAlign w:val="center"/>
          </w:tcPr>
          <w:p w14:paraId="0D8F5A22">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4351—2023</w:t>
            </w:r>
          </w:p>
        </w:tc>
        <w:tc>
          <w:tcPr>
            <w:tcW w:w="544" w:type="pct"/>
            <w:noWrap w:val="0"/>
            <w:vAlign w:val="center"/>
          </w:tcPr>
          <w:p w14:paraId="5EBDD665">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43" w:type="pct"/>
            <w:noWrap w:val="0"/>
            <w:vAlign w:val="center"/>
          </w:tcPr>
          <w:p w14:paraId="5E2C0CAA">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44C3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9" w:type="pct"/>
            <w:noWrap w:val="0"/>
            <w:vAlign w:val="center"/>
          </w:tcPr>
          <w:p w14:paraId="444EA15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4</w:t>
            </w:r>
          </w:p>
        </w:tc>
        <w:tc>
          <w:tcPr>
            <w:tcW w:w="1089" w:type="pct"/>
            <w:noWrap w:val="0"/>
            <w:vAlign w:val="center"/>
          </w:tcPr>
          <w:p w14:paraId="1A7BD0A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Helvetica"/>
                <w:color w:val="000000"/>
                <w:szCs w:val="21"/>
              </w:rPr>
              <w:t>瓶体爆破性能</w:t>
            </w:r>
          </w:p>
        </w:tc>
        <w:tc>
          <w:tcPr>
            <w:tcW w:w="1327" w:type="pct"/>
            <w:noWrap w:val="0"/>
            <w:vAlign w:val="center"/>
          </w:tcPr>
          <w:p w14:paraId="5816FFAF">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Helvetica"/>
                <w:color w:val="000000"/>
                <w:szCs w:val="21"/>
              </w:rPr>
              <w:t>最小爆破压力</w:t>
            </w:r>
          </w:p>
        </w:tc>
        <w:tc>
          <w:tcPr>
            <w:tcW w:w="1127" w:type="pct"/>
            <w:noWrap w:val="0"/>
            <w:vAlign w:val="center"/>
          </w:tcPr>
          <w:p w14:paraId="0F6A20D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4351—2023</w:t>
            </w:r>
          </w:p>
        </w:tc>
        <w:tc>
          <w:tcPr>
            <w:tcW w:w="544" w:type="pct"/>
            <w:noWrap w:val="0"/>
            <w:vAlign w:val="center"/>
          </w:tcPr>
          <w:p w14:paraId="2DA96217">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43" w:type="pct"/>
            <w:noWrap w:val="0"/>
            <w:vAlign w:val="center"/>
          </w:tcPr>
          <w:p w14:paraId="13AC22F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6EE0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269" w:type="pct"/>
            <w:noWrap w:val="0"/>
            <w:vAlign w:val="center"/>
          </w:tcPr>
          <w:p w14:paraId="59733E69">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5</w:t>
            </w:r>
          </w:p>
        </w:tc>
        <w:tc>
          <w:tcPr>
            <w:tcW w:w="1089" w:type="pct"/>
            <w:noWrap w:val="0"/>
            <w:vAlign w:val="center"/>
          </w:tcPr>
          <w:p w14:paraId="708D41A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Helvetica"/>
                <w:color w:val="000000"/>
                <w:szCs w:val="21"/>
              </w:rPr>
              <w:t>灭火剂-主要组分含量（质量分数）</w:t>
            </w:r>
          </w:p>
        </w:tc>
        <w:tc>
          <w:tcPr>
            <w:tcW w:w="1327" w:type="pct"/>
            <w:noWrap w:val="0"/>
            <w:vAlign w:val="center"/>
          </w:tcPr>
          <w:p w14:paraId="010BE01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Helvetica"/>
                <w:color w:val="000000"/>
                <w:szCs w:val="21"/>
              </w:rPr>
              <w:t>任一主要组分含量(磷酸二氢铵）</w:t>
            </w:r>
          </w:p>
        </w:tc>
        <w:tc>
          <w:tcPr>
            <w:tcW w:w="1127" w:type="pct"/>
            <w:noWrap w:val="0"/>
            <w:vAlign w:val="center"/>
          </w:tcPr>
          <w:p w14:paraId="43F48F5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4066—2017</w:t>
            </w:r>
          </w:p>
        </w:tc>
        <w:tc>
          <w:tcPr>
            <w:tcW w:w="544" w:type="pct"/>
            <w:noWrap w:val="0"/>
            <w:vAlign w:val="center"/>
          </w:tcPr>
          <w:p w14:paraId="1C8D5200">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43" w:type="pct"/>
            <w:noWrap w:val="0"/>
            <w:vAlign w:val="center"/>
          </w:tcPr>
          <w:p w14:paraId="5D46F5B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bl>
    <w:p w14:paraId="075D054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重要程度分级：A类-极重要质量项目，是指直接涉及影响人身健康、安全的指标；B类-重要质量项目，是指产品涉及环保、能效、关键或特征性指标等；C类-一般质量项目，外观、尺寸等不直接影响产品使用的指标。</w:t>
      </w:r>
    </w:p>
    <w:p w14:paraId="7B398A42">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szCs w:val="21"/>
        </w:rPr>
      </w:pPr>
      <w:r>
        <w:rPr>
          <w:rFonts w:hint="eastAsia" w:ascii="Times New Roman" w:hAnsi="Times New Roman"/>
          <w:szCs w:val="21"/>
        </w:rPr>
        <w:t>执行企业标准、团体标准、地方标准的产品，检验项目参照上述内容执行。</w:t>
      </w:r>
    </w:p>
    <w:p w14:paraId="6C535C7F">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szCs w:val="21"/>
        </w:rPr>
      </w:pPr>
      <w:r>
        <w:rPr>
          <w:rFonts w:ascii="Times New Roman" w:hAnsi="Times New Roman"/>
          <w:szCs w:val="21"/>
        </w:rPr>
        <w:t>凡是注日期的文件，其随后所有的修改单（不包括勘误的内容）或修订版不适用于本细则。凡是不注日期的文件，其最新版本适用于本细则。</w:t>
      </w:r>
    </w:p>
    <w:p w14:paraId="7DB9F9E0">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依照有关规定或产品适用标准，需要检测的其他项目，可视情况进行调整。</w:t>
      </w:r>
    </w:p>
    <w:p w14:paraId="6B5EDFD2">
      <w:pPr>
        <w:keepNext w:val="0"/>
        <w:keepLines w:val="0"/>
        <w:pageBreakBefore w:val="0"/>
        <w:kinsoku/>
        <w:wordWrap/>
        <w:overflowPunct/>
        <w:topLinePunct w:val="0"/>
        <w:autoSpaceDE/>
        <w:autoSpaceDN/>
        <w:bidi w:val="0"/>
        <w:spacing w:line="440" w:lineRule="exact"/>
        <w:jc w:val="left"/>
        <w:textAlignment w:val="auto"/>
        <w:rPr>
          <w:rFonts w:hint="eastAsia" w:ascii="黑体" w:hAnsi="黑体" w:eastAsia="黑体" w:cs="黑体"/>
          <w:bCs/>
          <w:szCs w:val="21"/>
        </w:rPr>
      </w:pPr>
    </w:p>
    <w:p w14:paraId="1CD3C929">
      <w:pPr>
        <w:keepNext w:val="0"/>
        <w:keepLines w:val="0"/>
        <w:pageBreakBefore w:val="0"/>
        <w:kinsoku/>
        <w:wordWrap/>
        <w:overflowPunct/>
        <w:topLinePunct w:val="0"/>
        <w:autoSpaceDE/>
        <w:autoSpaceDN/>
        <w:bidi w:val="0"/>
        <w:spacing w:line="440" w:lineRule="exact"/>
        <w:jc w:val="left"/>
        <w:textAlignment w:val="auto"/>
        <w:rPr>
          <w:rFonts w:hint="eastAsia" w:ascii="Times New Roman" w:hAnsi="Times New Roman" w:eastAsia="黑体" w:cs="仿宋"/>
          <w:bCs/>
          <w:szCs w:val="21"/>
          <w:lang w:val="en-GB"/>
        </w:rPr>
      </w:pPr>
      <w:r>
        <w:rPr>
          <w:rFonts w:hint="eastAsia" w:ascii="黑体" w:hAnsi="黑体" w:eastAsia="黑体" w:cs="黑体"/>
          <w:bCs/>
          <w:szCs w:val="21"/>
        </w:rPr>
        <w:t>4</w:t>
      </w:r>
      <w:r>
        <w:rPr>
          <w:rFonts w:hint="eastAsia" w:ascii="黑体" w:hAnsi="黑体" w:eastAsia="黑体" w:cs="黑体"/>
          <w:bCs/>
          <w:szCs w:val="21"/>
          <w:lang w:val="en-GB"/>
        </w:rPr>
        <w:t xml:space="preserve"> 判定规则</w:t>
      </w:r>
    </w:p>
    <w:p w14:paraId="64C2C6FD">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cs="仿宋"/>
          <w:szCs w:val="21"/>
          <w:lang w:val="en-GB"/>
        </w:rPr>
      </w:pPr>
      <w:r>
        <w:rPr>
          <w:rFonts w:hint="eastAsia" w:ascii="Times New Roman" w:hAnsi="Times New Roman" w:cs="仿宋"/>
          <w:szCs w:val="21"/>
        </w:rPr>
        <w:t>4</w:t>
      </w:r>
      <w:r>
        <w:rPr>
          <w:rFonts w:hint="eastAsia" w:ascii="Times New Roman" w:hAnsi="Times New Roman" w:cs="仿宋"/>
          <w:szCs w:val="21"/>
          <w:lang w:val="en-GB"/>
        </w:rPr>
        <w:t>.1依据标准</w:t>
      </w:r>
    </w:p>
    <w:p w14:paraId="4322AA6A">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s="仿宋"/>
          <w:szCs w:val="21"/>
          <w:lang w:val="en-GB"/>
        </w:rPr>
        <w:t xml:space="preserve">GB 4351-2023 </w:t>
      </w:r>
      <w:r>
        <w:rPr>
          <w:rFonts w:ascii="Times New Roman" w:hAnsi="Times New Roman"/>
          <w:color w:val="000000"/>
          <w:szCs w:val="21"/>
        </w:rPr>
        <w:t>手提式灭火器</w:t>
      </w:r>
    </w:p>
    <w:p w14:paraId="6BEDB745">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s="仿宋"/>
          <w:szCs w:val="21"/>
          <w:lang w:val="en-GB"/>
        </w:rPr>
        <w:t>GB 4066-2017</w:t>
      </w:r>
      <w:r>
        <w:rPr>
          <w:rFonts w:ascii="Times New Roman" w:hAnsi="Times New Roman"/>
          <w:color w:val="000000"/>
          <w:szCs w:val="21"/>
        </w:rPr>
        <w:t xml:space="preserve"> 干粉灭火剂</w:t>
      </w:r>
    </w:p>
    <w:p w14:paraId="41F45A4A">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14:paraId="45736219">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cs="仿宋"/>
          <w:szCs w:val="21"/>
        </w:rPr>
      </w:pPr>
      <w:r>
        <w:rPr>
          <w:rFonts w:hint="eastAsia" w:ascii="Times New Roman" w:hAnsi="Times New Roman" w:cs="仿宋"/>
          <w:szCs w:val="21"/>
        </w:rPr>
        <w:t>4.2判定原则</w:t>
      </w:r>
    </w:p>
    <w:p w14:paraId="756543E2">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经检验，检验项目全部合格，判定为被抽查产品所检项目未发现不合格；检验项目中任一项或一项以上不合格，判定为被抽查产品不合格。</w:t>
      </w:r>
    </w:p>
    <w:p w14:paraId="027005D4">
      <w:pPr>
        <w:keepNext w:val="0"/>
        <w:keepLines w:val="0"/>
        <w:pageBreakBefore w:val="0"/>
        <w:kinsoku/>
        <w:wordWrap/>
        <w:overflowPunct/>
        <w:topLinePunct w:val="0"/>
        <w:autoSpaceDE/>
        <w:autoSpaceDN/>
        <w:bidi w:val="0"/>
        <w:snapToGrid w:val="0"/>
        <w:spacing w:line="440" w:lineRule="exact"/>
        <w:ind w:firstLine="417" w:firstLineChars="199"/>
        <w:textAlignment w:val="auto"/>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14:paraId="4560537A">
      <w:pPr>
        <w:keepNext w:val="0"/>
        <w:keepLines w:val="0"/>
        <w:pageBreakBefore w:val="0"/>
        <w:kinsoku/>
        <w:wordWrap/>
        <w:overflowPunct/>
        <w:topLinePunct w:val="0"/>
        <w:autoSpaceDE/>
        <w:autoSpaceDN/>
        <w:bidi w:val="0"/>
        <w:snapToGrid w:val="0"/>
        <w:spacing w:line="440" w:lineRule="exact"/>
        <w:ind w:firstLine="417" w:firstLineChars="199"/>
        <w:textAlignment w:val="auto"/>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14:paraId="18BD2F7C">
      <w:pPr>
        <w:keepNext w:val="0"/>
        <w:keepLines w:val="0"/>
        <w:pageBreakBefore w:val="0"/>
        <w:kinsoku/>
        <w:wordWrap/>
        <w:overflowPunct/>
        <w:topLinePunct w:val="0"/>
        <w:autoSpaceDE/>
        <w:autoSpaceDN/>
        <w:bidi w:val="0"/>
        <w:snapToGrid w:val="0"/>
        <w:spacing w:line="440" w:lineRule="exact"/>
        <w:ind w:firstLine="417" w:firstLineChars="199"/>
        <w:textAlignment w:val="auto"/>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14:paraId="78EC7AF7">
      <w:pPr>
        <w:keepNext w:val="0"/>
        <w:keepLines w:val="0"/>
        <w:pageBreakBefore w:val="0"/>
        <w:kinsoku/>
        <w:wordWrap/>
        <w:overflowPunct/>
        <w:topLinePunct w:val="0"/>
        <w:autoSpaceDE/>
        <w:autoSpaceDN/>
        <w:bidi w:val="0"/>
        <w:snapToGrid w:val="0"/>
        <w:spacing w:line="440" w:lineRule="exact"/>
        <w:ind w:firstLine="417" w:firstLineChars="199"/>
        <w:textAlignment w:val="auto"/>
        <w:rPr>
          <w:rFonts w:ascii="Times New Roman" w:hAnsi="Times New Roman"/>
          <w:color w:val="000000"/>
          <w:szCs w:val="21"/>
        </w:rPr>
      </w:pPr>
    </w:p>
    <w:p w14:paraId="6DCDBC83">
      <w:pPr>
        <w:snapToGrid w:val="0"/>
        <w:spacing w:line="440" w:lineRule="exact"/>
        <w:jc w:val="center"/>
        <w:rPr>
          <w:rFonts w:hint="eastAsia" w:ascii="方正小标宋简体" w:hAnsi="方正小标宋简体" w:eastAsia="方正小标宋简体" w:cs="方正小标宋简体"/>
          <w:color w:val="000000"/>
          <w:sz w:val="32"/>
          <w:szCs w:val="32"/>
        </w:rPr>
      </w:pPr>
    </w:p>
    <w:p w14:paraId="39DD5A34">
      <w:pPr>
        <w:snapToGrid w:val="0"/>
        <w:spacing w:line="440" w:lineRule="exact"/>
        <w:rPr>
          <w:color w:val="FF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04CDB">
    <w:pPr>
      <w:pStyle w:val="3"/>
      <w:jc w:val="center"/>
    </w:pPr>
    <w:r>
      <w:rPr>
        <w:lang w:val="zh-CN"/>
      </w:rPr>
      <w:fldChar w:fldCharType="begin"/>
    </w:r>
    <w:r>
      <w:rPr>
        <w:lang w:val="zh-CN"/>
      </w:rPr>
      <w:instrText xml:space="preserve"> PAGE   \* MERGEFORMAT </w:instrText>
    </w:r>
    <w:r>
      <w:rPr>
        <w:lang w:val="zh-CN"/>
      </w:rPr>
      <w:fldChar w:fldCharType="separate"/>
    </w:r>
    <w:r>
      <w:rPr>
        <w:lang/>
      </w:rPr>
      <w:t>1</w:t>
    </w:r>
    <w:r>
      <w:rPr>
        <w:lang w:val="zh-CN"/>
      </w:rPr>
      <w:fldChar w:fldCharType="end"/>
    </w:r>
  </w:p>
  <w:p w14:paraId="346A9673">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D7ADE">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12316ABE">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6FE3D">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00172A27"/>
    <w:rsid w:val="00051A44"/>
    <w:rsid w:val="00081CBD"/>
    <w:rsid w:val="000976DE"/>
    <w:rsid w:val="000B5D07"/>
    <w:rsid w:val="0012336F"/>
    <w:rsid w:val="00123B35"/>
    <w:rsid w:val="001809DD"/>
    <w:rsid w:val="00183B2B"/>
    <w:rsid w:val="001A0195"/>
    <w:rsid w:val="001D2A41"/>
    <w:rsid w:val="001E0DF6"/>
    <w:rsid w:val="00232530"/>
    <w:rsid w:val="00251374"/>
    <w:rsid w:val="00253624"/>
    <w:rsid w:val="002760E9"/>
    <w:rsid w:val="002D7F8A"/>
    <w:rsid w:val="002E0D1D"/>
    <w:rsid w:val="003047C7"/>
    <w:rsid w:val="0030781D"/>
    <w:rsid w:val="00310A2A"/>
    <w:rsid w:val="003203A3"/>
    <w:rsid w:val="003214C7"/>
    <w:rsid w:val="00365CBE"/>
    <w:rsid w:val="00374FC2"/>
    <w:rsid w:val="0039556D"/>
    <w:rsid w:val="003A7D30"/>
    <w:rsid w:val="003B3813"/>
    <w:rsid w:val="003C388C"/>
    <w:rsid w:val="003E61BF"/>
    <w:rsid w:val="003F474C"/>
    <w:rsid w:val="00401912"/>
    <w:rsid w:val="004104AC"/>
    <w:rsid w:val="00424A39"/>
    <w:rsid w:val="00445E86"/>
    <w:rsid w:val="00474E04"/>
    <w:rsid w:val="004B1665"/>
    <w:rsid w:val="004D0C5A"/>
    <w:rsid w:val="004E1396"/>
    <w:rsid w:val="00507FE6"/>
    <w:rsid w:val="005514B8"/>
    <w:rsid w:val="00557F41"/>
    <w:rsid w:val="00563EBC"/>
    <w:rsid w:val="00584CE8"/>
    <w:rsid w:val="00653149"/>
    <w:rsid w:val="006C0BA0"/>
    <w:rsid w:val="006E1171"/>
    <w:rsid w:val="006F0971"/>
    <w:rsid w:val="0072334C"/>
    <w:rsid w:val="007269E7"/>
    <w:rsid w:val="00772888"/>
    <w:rsid w:val="008010C2"/>
    <w:rsid w:val="0080449A"/>
    <w:rsid w:val="00816EEB"/>
    <w:rsid w:val="00895BEA"/>
    <w:rsid w:val="0089754A"/>
    <w:rsid w:val="008A3497"/>
    <w:rsid w:val="008C02F1"/>
    <w:rsid w:val="008C4E1D"/>
    <w:rsid w:val="00917A54"/>
    <w:rsid w:val="00924F81"/>
    <w:rsid w:val="00942DB9"/>
    <w:rsid w:val="009733B8"/>
    <w:rsid w:val="009A1D4D"/>
    <w:rsid w:val="00A013A6"/>
    <w:rsid w:val="00A23442"/>
    <w:rsid w:val="00A43553"/>
    <w:rsid w:val="00A477AD"/>
    <w:rsid w:val="00A73521"/>
    <w:rsid w:val="00A81B50"/>
    <w:rsid w:val="00AC5391"/>
    <w:rsid w:val="00BA63C2"/>
    <w:rsid w:val="00BD3F6D"/>
    <w:rsid w:val="00BF2B8C"/>
    <w:rsid w:val="00C26074"/>
    <w:rsid w:val="00C346F5"/>
    <w:rsid w:val="00C80440"/>
    <w:rsid w:val="00C83B0A"/>
    <w:rsid w:val="00CB5632"/>
    <w:rsid w:val="00CE1E0C"/>
    <w:rsid w:val="00CE277E"/>
    <w:rsid w:val="00D56867"/>
    <w:rsid w:val="00D72D3A"/>
    <w:rsid w:val="00D72EF8"/>
    <w:rsid w:val="00D93CD3"/>
    <w:rsid w:val="00DC438D"/>
    <w:rsid w:val="00DE5486"/>
    <w:rsid w:val="00E00D19"/>
    <w:rsid w:val="00E02A7F"/>
    <w:rsid w:val="00E031C5"/>
    <w:rsid w:val="00E07880"/>
    <w:rsid w:val="00E82621"/>
    <w:rsid w:val="00EB09F7"/>
    <w:rsid w:val="00EC6814"/>
    <w:rsid w:val="00EF086A"/>
    <w:rsid w:val="00F77C9A"/>
    <w:rsid w:val="00FB576C"/>
    <w:rsid w:val="00FD2AA6"/>
    <w:rsid w:val="00FE7E8A"/>
    <w:rsid w:val="01302A12"/>
    <w:rsid w:val="01AA0C90"/>
    <w:rsid w:val="06FE6115"/>
    <w:rsid w:val="090512AF"/>
    <w:rsid w:val="10B86ACC"/>
    <w:rsid w:val="116540E9"/>
    <w:rsid w:val="11F37614"/>
    <w:rsid w:val="1DBC244B"/>
    <w:rsid w:val="2971459A"/>
    <w:rsid w:val="2B097539"/>
    <w:rsid w:val="2D676CD2"/>
    <w:rsid w:val="33B82CB1"/>
    <w:rsid w:val="36644296"/>
    <w:rsid w:val="3B6441AB"/>
    <w:rsid w:val="3BA74176"/>
    <w:rsid w:val="40E312F7"/>
    <w:rsid w:val="40F57128"/>
    <w:rsid w:val="43F70D50"/>
    <w:rsid w:val="44EDABE3"/>
    <w:rsid w:val="4CAA48AB"/>
    <w:rsid w:val="4EEB2DDA"/>
    <w:rsid w:val="50FD2D07"/>
    <w:rsid w:val="52105FF2"/>
    <w:rsid w:val="53842A93"/>
    <w:rsid w:val="54EA6865"/>
    <w:rsid w:val="61BB37EC"/>
    <w:rsid w:val="64C53375"/>
    <w:rsid w:val="6D654B30"/>
    <w:rsid w:val="6ED02CCC"/>
    <w:rsid w:val="6F99A791"/>
    <w:rsid w:val="6FB473B5"/>
    <w:rsid w:val="6FFFBFC8"/>
    <w:rsid w:val="715D4B51"/>
    <w:rsid w:val="71A862D1"/>
    <w:rsid w:val="737D8907"/>
    <w:rsid w:val="74771207"/>
    <w:rsid w:val="781C5FBE"/>
    <w:rsid w:val="789A3A61"/>
    <w:rsid w:val="7A9F3299"/>
    <w:rsid w:val="7E9139DB"/>
    <w:rsid w:val="7EF6FDD0"/>
    <w:rsid w:val="AFFA1C77"/>
    <w:rsid w:val="BA7B23C6"/>
    <w:rsid w:val="BFD6A38B"/>
    <w:rsid w:val="DFEFB176"/>
    <w:rsid w:val="EDBD43B3"/>
    <w:rsid w:val="FE5E6A9D"/>
    <w:rsid w:val="FE759C71"/>
    <w:rsid w:val="FF3B763D"/>
    <w:rsid w:val="FFAF70C3"/>
    <w:rsid w:val="FFBDBA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Style w:val="5"/>
      <w:tblCellMar>
        <w:top w:w="0" w:type="dxa"/>
        <w:left w:w="108" w:type="dxa"/>
        <w:bottom w:w="0" w:type="dxa"/>
        <w:right w:w="108" w:type="dxa"/>
      </w:tblCellMar>
    </w:tblPr>
  </w:style>
  <w:style w:type="paragraph" w:styleId="2">
    <w:name w:val="Balloon Text"/>
    <w:basedOn w:val="1"/>
    <w:link w:val="8"/>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uiPriority w:val="0"/>
  </w:style>
  <w:style w:type="character" w:customStyle="1" w:styleId="8">
    <w:name w:val="批注框文本 Char"/>
    <w:link w:val="2"/>
    <w:semiHidden/>
    <w:uiPriority w:val="99"/>
    <w:rPr>
      <w:kern w:val="2"/>
      <w:sz w:val="18"/>
      <w:szCs w:val="18"/>
    </w:rPr>
  </w:style>
  <w:style w:type="character" w:customStyle="1" w:styleId="9">
    <w:name w:val="页脚 Char"/>
    <w:link w:val="3"/>
    <w:uiPriority w:val="99"/>
    <w:rPr>
      <w:kern w:val="2"/>
      <w:sz w:val="18"/>
      <w:szCs w:val="18"/>
    </w:rPr>
  </w:style>
  <w:style w:type="character" w:customStyle="1" w:styleId="10">
    <w:name w:val="页眉 Char"/>
    <w:link w:val="4"/>
    <w:semiHidden/>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823</Words>
  <Characters>900</Characters>
  <Lines>7</Lines>
  <Paragraphs>2</Paragraphs>
  <TotalTime>1</TotalTime>
  <ScaleCrop>false</ScaleCrop>
  <LinksUpToDate>false</LinksUpToDate>
  <CharactersWithSpaces>918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2020-09-26T22:49:00Z</dcterms:created>
  <dc:creator>uos</dc:creator>
  <cp:lastModifiedBy>赢在行动</cp:lastModifiedBy>
  <cp:lastPrinted>2019-12-07T23:53:00Z</cp:lastPrinted>
  <dcterms:modified xsi:type="dcterms:W3CDTF">2025-08-29T07:36:31Z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E04EE3DC5B6141B7A38BA4CC8FDC660A_13</vt:lpwstr>
  </property>
  <property fmtid="{D5CDD505-2E9C-101B-9397-08002B2CF9AE}" pid="4" name="KSOTemplateDocerSaveRecord">
    <vt:lpwstr>eyJoZGlkIjoiMTY3NDRjNDA3ZTliYmUxMWY5Y2ExZDRiODEwNDI4N2YiLCJ1c2VySWQiOiIyMTkxODIwMjYifQ==</vt:lpwstr>
  </property>
</Properties>
</file>